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642E8" w:rsidRPr="00603E7C" w:rsidRDefault="00C642E8" w:rsidP="00C642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03E7C">
        <w:rPr>
          <w:rFonts w:ascii="Times New Roman" w:hAnsi="Times New Roman" w:cs="Times New Roman"/>
          <w:b/>
          <w:bCs/>
          <w:sz w:val="28"/>
          <w:szCs w:val="28"/>
        </w:rPr>
        <w:t>Український Католицький Університет</w:t>
      </w:r>
    </w:p>
    <w:p w:rsidR="00C642E8" w:rsidRPr="00603E7C" w:rsidRDefault="00C642E8" w:rsidP="00C642E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03E7C">
        <w:rPr>
          <w:rFonts w:ascii="Times New Roman" w:hAnsi="Times New Roman" w:cs="Times New Roman"/>
          <w:i/>
          <w:iCs/>
          <w:sz w:val="28"/>
          <w:szCs w:val="28"/>
        </w:rPr>
        <w:t>Факультет Прикладних наук</w:t>
      </w:r>
    </w:p>
    <w:p w:rsidR="00C642E8" w:rsidRPr="00603E7C" w:rsidRDefault="00C642E8" w:rsidP="00C642E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03E7C">
        <w:rPr>
          <w:rFonts w:ascii="Times New Roman" w:hAnsi="Times New Roman" w:cs="Times New Roman"/>
          <w:i/>
          <w:iCs/>
          <w:sz w:val="28"/>
          <w:szCs w:val="28"/>
        </w:rPr>
        <w:t>Системний аналіз</w:t>
      </w:r>
    </w:p>
    <w:p w:rsidR="00C642E8" w:rsidRPr="00603E7C" w:rsidRDefault="00C642E8" w:rsidP="00C642E8">
      <w:pPr>
        <w:jc w:val="right"/>
        <w:rPr>
          <w:rFonts w:ascii="Times New Roman" w:hAnsi="Times New Roman" w:cs="Times New Roman"/>
          <w:sz w:val="28"/>
          <w:szCs w:val="28"/>
        </w:rPr>
      </w:pPr>
      <w:r w:rsidRPr="00603E7C">
        <w:rPr>
          <w:rFonts w:ascii="Times New Roman" w:hAnsi="Times New Roman" w:cs="Times New Roman"/>
          <w:sz w:val="28"/>
          <w:szCs w:val="28"/>
        </w:rPr>
        <w:t>Зазуляк Степан</w:t>
      </w:r>
    </w:p>
    <w:p w:rsidR="00C642E8" w:rsidRDefault="00C642E8" w:rsidP="00C642E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603E7C">
        <w:rPr>
          <w:rFonts w:ascii="Times New Roman" w:hAnsi="Times New Roman" w:cs="Times New Roman"/>
          <w:i/>
          <w:iCs/>
          <w:sz w:val="28"/>
          <w:szCs w:val="28"/>
        </w:rPr>
        <w:t>ДЗ №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</w:p>
    <w:p w:rsidR="00C642E8" w:rsidRPr="00603E7C" w:rsidRDefault="00C642E8" w:rsidP="00C642E8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:rsidR="00C642E8" w:rsidRDefault="00C642E8" w:rsidP="00C642E8">
      <w:pPr>
        <w:ind w:firstLine="708"/>
        <w:jc w:val="center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88123F">
        <w:rPr>
          <w:rFonts w:ascii="Times New Roman" w:hAnsi="Times New Roman" w:cs="Times New Roman"/>
          <w:b/>
          <w:bCs/>
          <w:sz w:val="32"/>
          <w:szCs w:val="32"/>
        </w:rPr>
        <w:t>Розрахунок податків для господарств в ОТГ</w:t>
      </w:r>
    </w:p>
    <w:p w:rsidR="00C642E8" w:rsidRPr="00DF6BFF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  <w:lang w:val="en-US"/>
        </w:rPr>
      </w:pP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У моєму дослідженні, на мою думку, абстрактним типом виступає податок.</w:t>
      </w:r>
    </w:p>
    <w:p w:rsidR="00C642E8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Податкові системи розвинутих держав ґрунтуються на трьох найбільш касових податках:</w:t>
      </w:r>
    </w:p>
    <w:p w:rsidR="00C642E8" w:rsidRPr="00DF6BFF" w:rsidRDefault="00C642E8" w:rsidP="00C642E8">
      <w:pPr>
        <w:pStyle w:val="a3"/>
        <w:numPr>
          <w:ilvl w:val="0"/>
          <w:numId w:val="2"/>
        </w:numP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особистому прибутковому податку;</w:t>
      </w:r>
    </w:p>
    <w:p w:rsidR="00C642E8" w:rsidRPr="00DF6BFF" w:rsidRDefault="00C642E8" w:rsidP="00C642E8">
      <w:pPr>
        <w:pStyle w:val="a3"/>
        <w:numPr>
          <w:ilvl w:val="0"/>
          <w:numId w:val="2"/>
        </w:numP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податку на соціальне страхування;</w:t>
      </w:r>
    </w:p>
    <w:p w:rsidR="00C642E8" w:rsidRPr="00DF6BFF" w:rsidRDefault="00C642E8" w:rsidP="00C642E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універсальних акцизах.</w:t>
      </w:r>
    </w:p>
    <w:p w:rsidR="00C642E8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Податкова система України, як врегульована нормами права сукупність податкових платежів, що справляються на її території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,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характеризується певною нестабільністю, що пов</w:t>
      </w:r>
      <w:r w:rsidRPr="00DF6BFF">
        <w:rPr>
          <w:rStyle w:val="ff6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’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язано з  її реформуванням та пошуком найбільш оптимальних варіантів її розвитку.</w:t>
      </w:r>
    </w:p>
    <w:p w:rsidR="00C642E8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  <w:lang w:val="en-US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На сьогодні в Україні більший податковий тягар несуть юридичні особи (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або ж 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підприємства). Зміна податкового законодавства та прийняття Податкового Кодексу в Україні є кроком в напрямі  зближення з європейською практикою побудови податкових систем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  <w:lang w:val="en-US"/>
        </w:rPr>
        <w:t xml:space="preserve">. 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Податковий тиск на юридичних осіб (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тобто 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підприємств), поступово зменшується , тоді як ставки податку на доходи фізичних осіб зростають відповідно до зростання доходів.</w:t>
      </w:r>
    </w:p>
    <w:p w:rsidR="00C642E8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В  податковій системі України розрізняють податки, плату, збори та внески. </w:t>
      </w:r>
      <w:proofErr w:type="spellStart"/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Остані</w:t>
      </w:r>
      <w:proofErr w:type="spellEnd"/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мають яскраво виражений цільовий характер та формують  позабюджетні фонди, наприклад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,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єдиний внесок на загальнообов</w:t>
      </w:r>
      <w:r w:rsidRPr="00DF6BFF">
        <w:rPr>
          <w:rStyle w:val="ff6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’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язкове державне  соціальне страхування.</w:t>
      </w:r>
    </w:p>
    <w:p w:rsidR="00C642E8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Розмір та порядок його сплати регулюється Законом України від 08.07.2010 р. № 2464-У1 «Про збір і облік єдиного внеску на загальнообов</w:t>
      </w:r>
      <w:r w:rsidRPr="00DF6BFF">
        <w:rPr>
          <w:rStyle w:val="ff6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’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язкове  державне соціальне страхування».</w:t>
      </w:r>
    </w:p>
    <w:p w:rsidR="00C642E8" w:rsidRPr="00DF6BFF" w:rsidRDefault="00C642E8" w:rsidP="00C642E8">
      <w:pPr>
        <w:ind w:firstLine="708"/>
        <w:rPr>
          <w:rStyle w:val="ff1"/>
          <w:rFonts w:ascii="Times New Roman" w:hAnsi="Times New Roman" w:cs="Times New Roman"/>
          <w:color w:val="000000"/>
          <w:sz w:val="14"/>
          <w:szCs w:val="14"/>
          <w:bdr w:val="none" w:sz="0" w:space="0" w:color="auto" w:frame="1"/>
        </w:rPr>
      </w:pP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В Україні найвагомішим принципом класифікації податків є 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так званий 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принцип</w:t>
      </w:r>
      <w:r w:rsidRPr="00DF6BFF">
        <w:rPr>
          <w:rStyle w:val="ff1"/>
          <w:rFonts w:ascii="Times New Roman" w:hAnsi="Times New Roman" w:cs="Times New Roman"/>
          <w:i/>
          <w:iCs/>
          <w:color w:val="000000"/>
          <w:sz w:val="20"/>
          <w:szCs w:val="20"/>
          <w:bdr w:val="none" w:sz="0" w:space="0" w:color="auto" w:frame="1"/>
        </w:rPr>
        <w:t> 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компетенції органу</w:t>
      </w:r>
      <w:r w:rsidRPr="00DF6BFF">
        <w:rPr>
          <w:rStyle w:val="ff1"/>
          <w:rFonts w:ascii="Times New Roman" w:hAnsi="Times New Roman" w:cs="Times New Roman"/>
          <w:i/>
          <w:iCs/>
          <w:color w:val="000000"/>
          <w:sz w:val="20"/>
          <w:szCs w:val="20"/>
          <w:bdr w:val="none" w:sz="0" w:space="0" w:color="auto" w:frame="1"/>
        </w:rPr>
        <w:t>, 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що вводить</w:t>
      </w:r>
      <w:r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  <w:lang w:val="en-US"/>
        </w:rPr>
        <w:t xml:space="preserve"> </w:t>
      </w: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дію податковий платіж на відповідній території: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b/>
          <w:bCs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f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Відповідно статті 9,  розділу 1  до загальнодержавних  належать такі податки та збори: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податок на прибуток підприємств;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податок на доходи фізичних осіб;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податок на додану вартість;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акцизний податок;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збір за першу реєстрацію транспортного засобу;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екологічний податок;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рентна плата за транспортування нафти і нафтопродуктів магістральними нафтопроводами та нафтопродуктопроводами, транзитне транспортування   трубопроводами   природного   газу   та   аміаку територією України;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плата за користування надрами;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плата за землю;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збір за користування радіочастотним ресурсом України;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збір за спеціальне використання води;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збір за спеціальне використання лісових ресурсів;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фіксований сільськогосподарський податок;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збір   на   розвиток  виноградарства,  садівництва  і хмелярства;   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lastRenderedPageBreak/>
        <w:t>мито;</w:t>
      </w:r>
    </w:p>
    <w:p w:rsidR="00C642E8" w:rsidRPr="00DF6BFF" w:rsidRDefault="00C642E8" w:rsidP="00C642E8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збір у вигляді цільової надбавки до діючого тарифу на електричну та теплову енергію,  крім електроенергії,  виробленої кваліфікованими </w:t>
      </w:r>
      <w:proofErr w:type="spellStart"/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когенераційними</w:t>
      </w:r>
      <w:proofErr w:type="spellEnd"/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установками;</w:t>
      </w:r>
    </w:p>
    <w:p w:rsidR="00C642E8" w:rsidRDefault="00C642E8" w:rsidP="00C642E8">
      <w:pPr>
        <w:pStyle w:val="a3"/>
        <w:numPr>
          <w:ilvl w:val="0"/>
          <w:numId w:val="1"/>
        </w:numPr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збір у вигляді цільової надбавки до діючого тарифу на природний газ для споживачів усіх форм власності.</w:t>
      </w:r>
    </w:p>
    <w:p w:rsidR="00C642E8" w:rsidRPr="00431DDE" w:rsidRDefault="00C642E8" w:rsidP="00C642E8">
      <w:pPr>
        <w:rPr>
          <w:rStyle w:val="cf1"/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Порядок визначення доходів та їх склад регулюється статтею 135  розділу Ш ПКУ. При цьому</w:t>
      </w:r>
      <w: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ж</w:t>
      </w: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слід врахувати норми статті 136, що дозволяють зменшити суму доходу при визначені об’єкту оподаткування.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Не враховуються у склад доходів при визначені об’єкту такі доходи:</w:t>
      </w:r>
    </w:p>
    <w:p w:rsidR="00C642E8" w:rsidRPr="00DF6BFF" w:rsidRDefault="00C642E8" w:rsidP="00C642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сума попередньої оплати та  авансів, отримана в рахунок оплати товарів, виконаних робіт, наданих послуг;</w:t>
      </w:r>
    </w:p>
    <w:p w:rsidR="00C642E8" w:rsidRPr="00DF6BFF" w:rsidRDefault="00C642E8" w:rsidP="00C642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суми податку на додану вартість, отримані/нараховані платником податку на додану вартість,  нарахованого на вартість продажу товарів, виконаних робіт, наданих послуг, за винятком випадків,  коли підприємство продавець не є платником податку на додану вартість;</w:t>
      </w:r>
    </w:p>
    <w:p w:rsidR="00C642E8" w:rsidRPr="00DF6BFF" w:rsidRDefault="00C642E8" w:rsidP="00C642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суми  коштів або вартість майна, що надходять платнику  податку у вигляді прямих інвестицій або реінвестицій у корпоративні права, емітовані таким  платником податку, в тому числі  грошові або майнові внески згідно з договорами про спільну діяльність на території України без створення юридичної особи;</w:t>
      </w:r>
    </w:p>
    <w:p w:rsidR="00C642E8" w:rsidRPr="00DF6BFF" w:rsidRDefault="00C642E8" w:rsidP="00C642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суми коштів або вартість майна,  отримані  платником податку  як  компенсація  (відшкодування)  за примусове відчуження державою іншого майна платника податку  у  випадках,  передбачених законом;</w:t>
      </w:r>
    </w:p>
    <w:p w:rsidR="00C642E8" w:rsidRDefault="00C642E8" w:rsidP="00C642E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та інші визначені нормами статті 136</w:t>
      </w:r>
      <w: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</w:t>
      </w: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ПКУ.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Склад витрат та порядок їх визначення регулюється статтею 138 ПКУ .</w:t>
      </w:r>
    </w:p>
    <w:p w:rsidR="00C642E8" w:rsidRPr="00DF6BFF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C642E8" w:rsidRPr="00DF6BFF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Витрати – це сума будь-яких витрат платника податку у грошовій, матеріальній або нематеріальній формах, здійснюваних для провадження господарської діяльності платника податку, в результаті яких відбувається зменшення економічних </w:t>
      </w:r>
      <w:proofErr w:type="spellStart"/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вигод</w:t>
      </w:r>
      <w:proofErr w:type="spellEnd"/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 xml:space="preserve"> у вигляді вибуття активів або збільшення зобов’язань , внаслідок чого відбувається зменшення власного капіталу (крім змін капіталу за рахунок його вилучення або розподілу власником (пп.14.1.27 п.14.1 ст. 14 ПКУ).</w:t>
      </w:r>
    </w:p>
    <w:p w:rsidR="00C642E8" w:rsidRPr="00DF6BFF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6BFF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До складу витрат, які враховуються при обчисленні об’єкта  оподаткування, включаються витрати операційної діяльності та інші витрати:</w:t>
      </w:r>
    </w:p>
    <w:p w:rsidR="00C642E8" w:rsidRPr="00DF7425" w:rsidRDefault="00C642E8" w:rsidP="00C642E8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витрати операційної  діяльності, (операційними називають витрати пов’язані з виробництвом та реалізацією продукції, товарів, робіт, послуг).</w:t>
      </w:r>
    </w:p>
    <w:p w:rsidR="00C642E8" w:rsidRPr="00DF7425" w:rsidRDefault="00C642E8" w:rsidP="00C642E8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Зазначена категорія  складається з прямих матеріальних витрат,  прямих витрат на оплату праці, амортизації виробничих основних засобів та нематеріальних активів, безпосередньо пов’язаних з виробництвом товарів, виконанням робіт, наданням послуг;</w:t>
      </w:r>
    </w:p>
    <w:p w:rsidR="00C642E8" w:rsidRPr="00DF7425" w:rsidRDefault="00C642E8" w:rsidP="00C642E8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загальновиробничих витрат, які відносяться на собівартість виготовлених та реалізованих товарів, виконанням робіт, наданням послуг відповідно до положень (стандартів) бухгалтерського обліку;</w:t>
      </w:r>
    </w:p>
    <w:p w:rsidR="00C642E8" w:rsidRPr="00DF7425" w:rsidRDefault="00C642E8" w:rsidP="00C642E8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вартості придбаних послуг, прямо пов’язаних з виробництвом товарів, виконанням робіт, наданням послуг;</w:t>
      </w:r>
    </w:p>
    <w:p w:rsidR="00C642E8" w:rsidRDefault="00C642E8" w:rsidP="00C642E8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інших прямих витрат (п.138.8 ст.138 ПКУ).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Також варто зазначити, хто такі платники податку, адже це теж пригодиться у моєму дослідженні.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Платниками податку є:</w:t>
      </w:r>
    </w:p>
    <w:p w:rsidR="00C642E8" w:rsidRPr="00DF7425" w:rsidRDefault="00C642E8" w:rsidP="00C642E8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фізична особа - резидент,  яка отримує доходи  як  з джерела їх походження в Україні, так і іноземні доходи;</w:t>
      </w:r>
    </w:p>
    <w:p w:rsidR="00C642E8" w:rsidRPr="00DF7425" w:rsidRDefault="00C642E8" w:rsidP="00C642E8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фізична  особа - нерезидент,  яка отримує доходи з джерела їх походження в Україні;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 w:rsidRPr="00DF7425"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t>Нововведенням ПКУ є віднесення до платників ПДФО податкових агентів, що підвищує їх податковий статус  та відповідальність.</w:t>
      </w: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</w:p>
    <w:p w:rsidR="00C642E8" w:rsidRDefault="00C642E8" w:rsidP="00C642E8">
      <w:pPr>
        <w:ind w:firstLine="708"/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</w:pPr>
      <w:r>
        <w:rPr>
          <w:rFonts w:ascii="Times New Roman" w:hAnsi="Times New Roman" w:cs="Times New Roman"/>
          <w:color w:val="000000"/>
          <w:sz w:val="20"/>
          <w:szCs w:val="20"/>
          <w:bdr w:val="none" w:sz="0" w:space="0" w:color="auto" w:frame="1"/>
        </w:rPr>
        <w:lastRenderedPageBreak/>
        <w:t>Діаграми:</w:t>
      </w:r>
    </w:p>
    <w:p w:rsidR="000673F1" w:rsidRDefault="00C642E8">
      <w:r>
        <w:object w:dxaOrig="4320" w:dyaOrig="4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3in;height:3in" o:ole="">
            <v:imagedata r:id="rId5" o:title=""/>
          </v:shape>
          <o:OLEObject Type="Embed" ProgID="FoxitPhantomPDF.Document" ShapeID="_x0000_i1033" DrawAspect="Content" ObjectID="_1650192299" r:id="rId6"/>
        </w:object>
      </w:r>
      <w:r>
        <w:object w:dxaOrig="4320" w:dyaOrig="4320">
          <v:shape id="_x0000_i1029" type="#_x0000_t75" style="width:3in;height:3in" o:ole="">
            <v:imagedata r:id="rId7" o:title=""/>
          </v:shape>
          <o:OLEObject Type="Embed" ProgID="FoxitPhantomPDF.Document" ShapeID="_x0000_i1029" DrawAspect="Content" ObjectID="_1650192300" r:id="rId8"/>
        </w:object>
      </w:r>
    </w:p>
    <w:sectPr w:rsidR="000673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91CF9"/>
    <w:multiLevelType w:val="hybridMultilevel"/>
    <w:tmpl w:val="5AEEC2E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83C4A72"/>
    <w:multiLevelType w:val="hybridMultilevel"/>
    <w:tmpl w:val="5A9C7B1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9F75C51"/>
    <w:multiLevelType w:val="hybridMultilevel"/>
    <w:tmpl w:val="9634BD7E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E4C595A"/>
    <w:multiLevelType w:val="hybridMultilevel"/>
    <w:tmpl w:val="5224878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2D11D61"/>
    <w:multiLevelType w:val="hybridMultilevel"/>
    <w:tmpl w:val="6F347D1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E8"/>
    <w:rsid w:val="000673F1"/>
    <w:rsid w:val="00C6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5D3C390"/>
  <w15:chartTrackingRefBased/>
  <w15:docId w15:val="{D2456537-B80A-41E8-B942-D91DA12AF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2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f1">
    <w:name w:val="ff1"/>
    <w:basedOn w:val="a0"/>
    <w:rsid w:val="00C642E8"/>
  </w:style>
  <w:style w:type="character" w:customStyle="1" w:styleId="cf1">
    <w:name w:val="cf1"/>
    <w:basedOn w:val="a0"/>
    <w:rsid w:val="00C642E8"/>
  </w:style>
  <w:style w:type="paragraph" w:styleId="a3">
    <w:name w:val="List Paragraph"/>
    <w:basedOn w:val="a"/>
    <w:uiPriority w:val="34"/>
    <w:qFormat/>
    <w:rsid w:val="00C642E8"/>
    <w:pPr>
      <w:ind w:left="720"/>
      <w:contextualSpacing/>
    </w:pPr>
  </w:style>
  <w:style w:type="character" w:customStyle="1" w:styleId="ff6">
    <w:name w:val="ff6"/>
    <w:basedOn w:val="a0"/>
    <w:rsid w:val="00C64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3657</Words>
  <Characters>2085</Characters>
  <Application>Microsoft Office Word</Application>
  <DocSecurity>0</DocSecurity>
  <Lines>17</Lines>
  <Paragraphs>11</Paragraphs>
  <ScaleCrop>false</ScaleCrop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Зазуляк</dc:creator>
  <cp:keywords/>
  <dc:description/>
  <cp:lastModifiedBy>Степан Зазуляк</cp:lastModifiedBy>
  <cp:revision>1</cp:revision>
  <dcterms:created xsi:type="dcterms:W3CDTF">2020-05-05T10:51:00Z</dcterms:created>
  <dcterms:modified xsi:type="dcterms:W3CDTF">2020-05-05T10:58:00Z</dcterms:modified>
</cp:coreProperties>
</file>