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A0911E" w14:textId="77777777" w:rsidR="00AB64E2" w:rsidRPr="00DD2B6E" w:rsidRDefault="00AB64E2" w:rsidP="00AB64E2">
      <w:pPr>
        <w:pStyle w:val="Heading2"/>
        <w:jc w:val="center"/>
        <w:rPr>
          <w:szCs w:val="24"/>
        </w:rPr>
      </w:pPr>
      <w:r w:rsidRPr="00DD2B6E">
        <w:t>Coursework Coversheet</w:t>
      </w:r>
    </w:p>
    <w:p w14:paraId="29EBEA64" w14:textId="77777777" w:rsidR="00AB64E2" w:rsidRPr="00DD2B6E" w:rsidRDefault="00AB64E2" w:rsidP="00AB64E2">
      <w:pPr>
        <w:rPr>
          <w:rFonts w:cs="Arial"/>
          <w:color w:val="000000"/>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5"/>
        <w:gridCol w:w="5575"/>
      </w:tblGrid>
      <w:tr w:rsidR="000165F5" w:rsidRPr="00DD2B6E" w14:paraId="2B20F751" w14:textId="77777777" w:rsidTr="006F0D93">
        <w:trPr>
          <w:trHeight w:val="816"/>
          <w:jc w:val="center"/>
        </w:trPr>
        <w:tc>
          <w:tcPr>
            <w:tcW w:w="9900" w:type="dxa"/>
            <w:gridSpan w:val="2"/>
          </w:tcPr>
          <w:p w14:paraId="6F3DA647" w14:textId="02989F27" w:rsidR="000165F5" w:rsidRPr="00DD2B6E" w:rsidRDefault="000165F5" w:rsidP="000165F5">
            <w:pPr>
              <w:rPr>
                <w:rFonts w:cs="Arial"/>
                <w:color w:val="000000"/>
              </w:rPr>
            </w:pPr>
            <w:r w:rsidRPr="00DD2B6E">
              <w:rPr>
                <w:rFonts w:cs="Arial"/>
                <w:color w:val="000000"/>
              </w:rPr>
              <w:t>Student’s name</w:t>
            </w:r>
            <w:r>
              <w:rPr>
                <w:rFonts w:cs="Arial"/>
                <w:color w:val="000000"/>
              </w:rPr>
              <w:t xml:space="preserve">                               </w:t>
            </w:r>
            <w:r w:rsidR="001E73DB">
              <w:rPr>
                <w:rFonts w:cs="Arial"/>
                <w:color w:val="000000"/>
              </w:rPr>
              <w:t xml:space="preserve"> </w:t>
            </w:r>
            <w:r>
              <w:rPr>
                <w:rFonts w:cs="Arial"/>
                <w:color w:val="000000"/>
              </w:rPr>
              <w:t xml:space="preserve">         Stéphane JACQUET</w:t>
            </w:r>
          </w:p>
        </w:tc>
      </w:tr>
      <w:tr w:rsidR="000165F5" w:rsidRPr="00DD2B6E" w14:paraId="1C2BD47D" w14:textId="77777777" w:rsidTr="006F0D93">
        <w:trPr>
          <w:trHeight w:val="816"/>
          <w:jc w:val="center"/>
        </w:trPr>
        <w:tc>
          <w:tcPr>
            <w:tcW w:w="9900" w:type="dxa"/>
            <w:gridSpan w:val="2"/>
          </w:tcPr>
          <w:p w14:paraId="09B7A41C" w14:textId="036548A9" w:rsidR="000165F5" w:rsidRPr="00DD2B6E" w:rsidRDefault="000165F5" w:rsidP="000165F5">
            <w:pPr>
              <w:rPr>
                <w:rFonts w:cs="Arial"/>
                <w:color w:val="000000"/>
              </w:rPr>
            </w:pPr>
            <w:r w:rsidRPr="00DD2B6E">
              <w:rPr>
                <w:rFonts w:cs="Arial"/>
                <w:color w:val="000000"/>
              </w:rPr>
              <w:t>Course of study</w:t>
            </w:r>
            <w:r>
              <w:rPr>
                <w:rFonts w:cs="Arial"/>
                <w:color w:val="000000"/>
              </w:rPr>
              <w:t xml:space="preserve">                                        MA Development Education</w:t>
            </w:r>
          </w:p>
          <w:p w14:paraId="1AC53FC3" w14:textId="5B8EA0B2" w:rsidR="000165F5" w:rsidRPr="00DD2B6E" w:rsidRDefault="000165F5" w:rsidP="000165F5">
            <w:pPr>
              <w:tabs>
                <w:tab w:val="left" w:pos="1653"/>
              </w:tabs>
              <w:rPr>
                <w:rFonts w:cs="Arial"/>
                <w:color w:val="000000"/>
              </w:rPr>
            </w:pPr>
            <w:r>
              <w:rPr>
                <w:rFonts w:cs="Arial"/>
                <w:color w:val="000000"/>
              </w:rPr>
              <w:tab/>
            </w:r>
          </w:p>
        </w:tc>
      </w:tr>
      <w:tr w:rsidR="000165F5" w:rsidRPr="00DD2B6E" w14:paraId="347C334A" w14:textId="77777777" w:rsidTr="006F0D93">
        <w:trPr>
          <w:trHeight w:val="816"/>
          <w:jc w:val="center"/>
        </w:trPr>
        <w:tc>
          <w:tcPr>
            <w:tcW w:w="9900" w:type="dxa"/>
            <w:gridSpan w:val="2"/>
          </w:tcPr>
          <w:p w14:paraId="2C542E2D" w14:textId="341E54A4" w:rsidR="000165F5" w:rsidRPr="00DD2B6E" w:rsidRDefault="000165F5" w:rsidP="000165F5">
            <w:pPr>
              <w:rPr>
                <w:rFonts w:cs="Arial"/>
                <w:color w:val="000000"/>
              </w:rPr>
            </w:pPr>
            <w:r w:rsidRPr="00DD2B6E">
              <w:rPr>
                <w:rFonts w:cs="Arial"/>
                <w:color w:val="000000"/>
              </w:rPr>
              <w:t>Module title</w:t>
            </w:r>
            <w:r>
              <w:rPr>
                <w:rFonts w:cs="Arial"/>
                <w:color w:val="000000"/>
              </w:rPr>
              <w:t xml:space="preserve">                                      </w:t>
            </w:r>
            <w:r w:rsidR="001E73DB">
              <w:rPr>
                <w:rFonts w:cs="Arial"/>
                <w:color w:val="000000"/>
              </w:rPr>
              <w:t xml:space="preserve"> </w:t>
            </w:r>
            <w:r>
              <w:rPr>
                <w:rFonts w:cs="Arial"/>
                <w:color w:val="000000"/>
              </w:rPr>
              <w:t xml:space="preserve">      Development Education in the Era of Globalisation</w:t>
            </w:r>
          </w:p>
        </w:tc>
      </w:tr>
      <w:tr w:rsidR="00AB64E2" w:rsidRPr="00DD2B6E" w14:paraId="0FB76E7E" w14:textId="77777777" w:rsidTr="006F0D93">
        <w:trPr>
          <w:trHeight w:val="816"/>
          <w:jc w:val="center"/>
        </w:trPr>
        <w:tc>
          <w:tcPr>
            <w:tcW w:w="4325" w:type="dxa"/>
            <w:tcBorders>
              <w:bottom w:val="nil"/>
            </w:tcBorders>
          </w:tcPr>
          <w:p w14:paraId="1BC8678A" w14:textId="77777777" w:rsidR="00AB64E2" w:rsidRPr="00DD2B6E" w:rsidRDefault="00AB64E2" w:rsidP="006F0D93">
            <w:pPr>
              <w:rPr>
                <w:rFonts w:cs="Arial"/>
                <w:color w:val="000000"/>
              </w:rPr>
            </w:pPr>
            <w:r w:rsidRPr="00DD2B6E">
              <w:rPr>
                <w:rFonts w:cs="Arial"/>
                <w:color w:val="000000"/>
              </w:rPr>
              <w:t>Module code</w:t>
            </w:r>
          </w:p>
          <w:p w14:paraId="7238E1CF" w14:textId="77777777" w:rsidR="00AB64E2" w:rsidRPr="00DD2B6E" w:rsidRDefault="00AB64E2" w:rsidP="006F0D93">
            <w:pPr>
              <w:rPr>
                <w:rFonts w:cs="Arial"/>
                <w:color w:val="000000"/>
              </w:rPr>
            </w:pPr>
            <w:r w:rsidRPr="003C1269">
              <w:rPr>
                <w:rFonts w:cs="Arial"/>
                <w:color w:val="000000"/>
              </w:rPr>
              <w:t>MMADED_01</w:t>
            </w:r>
          </w:p>
        </w:tc>
        <w:tc>
          <w:tcPr>
            <w:tcW w:w="5575" w:type="dxa"/>
            <w:tcBorders>
              <w:bottom w:val="nil"/>
            </w:tcBorders>
          </w:tcPr>
          <w:p w14:paraId="0B3BC9C0" w14:textId="1A8D796D" w:rsidR="00AB64E2" w:rsidRPr="00DD2B6E" w:rsidRDefault="00AB64E2" w:rsidP="006F0D93">
            <w:pPr>
              <w:rPr>
                <w:rFonts w:cs="Arial"/>
                <w:color w:val="000000"/>
              </w:rPr>
            </w:pPr>
            <w:r w:rsidRPr="00DD2B6E">
              <w:rPr>
                <w:rFonts w:cs="Arial"/>
                <w:color w:val="000000"/>
              </w:rPr>
              <w:t>Date work submitted</w:t>
            </w:r>
            <w:r w:rsidR="000165F5">
              <w:rPr>
                <w:rFonts w:cs="Arial"/>
                <w:color w:val="000000"/>
              </w:rPr>
              <w:t>: 11-5-15</w:t>
            </w:r>
          </w:p>
        </w:tc>
      </w:tr>
      <w:tr w:rsidR="00AB64E2" w:rsidRPr="00DD2B6E" w14:paraId="0C943828" w14:textId="77777777" w:rsidTr="006F0D93">
        <w:trPr>
          <w:trHeight w:val="90"/>
          <w:jc w:val="center"/>
        </w:trPr>
        <w:tc>
          <w:tcPr>
            <w:tcW w:w="4325" w:type="dxa"/>
            <w:tcBorders>
              <w:left w:val="nil"/>
              <w:right w:val="nil"/>
            </w:tcBorders>
          </w:tcPr>
          <w:p w14:paraId="0B16A3E7" w14:textId="77777777" w:rsidR="00AB64E2" w:rsidRPr="00DD2B6E" w:rsidRDefault="00AB64E2" w:rsidP="006F0D93">
            <w:pPr>
              <w:rPr>
                <w:rFonts w:cs="Arial"/>
                <w:color w:val="000000"/>
              </w:rPr>
            </w:pPr>
          </w:p>
        </w:tc>
        <w:tc>
          <w:tcPr>
            <w:tcW w:w="5575" w:type="dxa"/>
            <w:tcBorders>
              <w:left w:val="nil"/>
              <w:right w:val="nil"/>
            </w:tcBorders>
          </w:tcPr>
          <w:p w14:paraId="7E9A9D5F" w14:textId="77777777" w:rsidR="00AB64E2" w:rsidRPr="00DD2B6E" w:rsidRDefault="00AB64E2" w:rsidP="006F0D93">
            <w:pPr>
              <w:rPr>
                <w:rFonts w:cs="Arial"/>
                <w:color w:val="000000"/>
              </w:rPr>
            </w:pPr>
          </w:p>
        </w:tc>
      </w:tr>
      <w:tr w:rsidR="000165F5" w:rsidRPr="00DD2B6E" w14:paraId="0C112934" w14:textId="77777777" w:rsidTr="006F0D93">
        <w:trPr>
          <w:trHeight w:val="2953"/>
          <w:jc w:val="center"/>
        </w:trPr>
        <w:tc>
          <w:tcPr>
            <w:tcW w:w="9900" w:type="dxa"/>
            <w:gridSpan w:val="2"/>
          </w:tcPr>
          <w:p w14:paraId="592FE8B3" w14:textId="77777777" w:rsidR="000165F5" w:rsidRDefault="000165F5" w:rsidP="006F0D93">
            <w:pPr>
              <w:rPr>
                <w:rFonts w:cs="Arial"/>
                <w:color w:val="000000"/>
              </w:rPr>
            </w:pPr>
            <w:r>
              <w:rPr>
                <w:rFonts w:cs="Arial"/>
                <w:color w:val="000000"/>
              </w:rPr>
              <w:t>Title of Assignment:</w:t>
            </w:r>
          </w:p>
          <w:p w14:paraId="5A2CCD00" w14:textId="6A609201" w:rsidR="000165F5" w:rsidRPr="00DD2B6E" w:rsidRDefault="00732454" w:rsidP="006F0D93">
            <w:pPr>
              <w:rPr>
                <w:rFonts w:cs="Arial"/>
                <w:color w:val="000000"/>
              </w:rPr>
            </w:pPr>
            <w:r>
              <w:rPr>
                <w:rFonts w:cs="Arial"/>
                <w:b/>
                <w:color w:val="000000"/>
                <w:sz w:val="28"/>
              </w:rPr>
              <w:t>Critique of the ‘</w:t>
            </w:r>
            <w:r w:rsidR="000165F5" w:rsidRPr="000165F5">
              <w:rPr>
                <w:rFonts w:cs="Arial"/>
                <w:b/>
                <w:color w:val="000000"/>
                <w:sz w:val="28"/>
              </w:rPr>
              <w:t>Citizenship Education in England, France and Scotlan</w:t>
            </w:r>
            <w:r>
              <w:rPr>
                <w:rFonts w:cs="Arial"/>
                <w:b/>
                <w:color w:val="000000"/>
                <w:sz w:val="28"/>
              </w:rPr>
              <w:t>d’ report</w:t>
            </w:r>
            <w:r w:rsidR="000165F5">
              <w:rPr>
                <w:rFonts w:cs="Arial"/>
                <w:color w:val="000000"/>
              </w:rPr>
              <w:t xml:space="preserve">  </w:t>
            </w:r>
          </w:p>
          <w:p w14:paraId="7CF6AF40" w14:textId="1DFEFC96" w:rsidR="000165F5" w:rsidRPr="00DD2B6E" w:rsidRDefault="000165F5" w:rsidP="006F0D93">
            <w:pPr>
              <w:rPr>
                <w:rFonts w:cs="Arial"/>
                <w:color w:val="000000"/>
              </w:rPr>
            </w:pPr>
          </w:p>
          <w:p w14:paraId="1EAE34B8" w14:textId="77777777" w:rsidR="000165F5" w:rsidRPr="00DD2B6E" w:rsidRDefault="000165F5" w:rsidP="006F0D93">
            <w:pPr>
              <w:rPr>
                <w:rFonts w:cs="Arial"/>
                <w:color w:val="000000"/>
              </w:rPr>
            </w:pPr>
          </w:p>
          <w:p w14:paraId="1C294419" w14:textId="77777777" w:rsidR="000165F5" w:rsidRPr="00DD2B6E" w:rsidRDefault="000165F5" w:rsidP="006F0D93">
            <w:pPr>
              <w:rPr>
                <w:rFonts w:cs="Arial"/>
                <w:color w:val="000000"/>
              </w:rPr>
            </w:pPr>
          </w:p>
          <w:p w14:paraId="762630F8" w14:textId="77777777" w:rsidR="000165F5" w:rsidRPr="00DD2B6E" w:rsidRDefault="000165F5" w:rsidP="006F0D93">
            <w:pPr>
              <w:rPr>
                <w:rFonts w:cs="Arial"/>
                <w:color w:val="000000"/>
              </w:rPr>
            </w:pPr>
          </w:p>
          <w:p w14:paraId="32319BA5" w14:textId="77777777" w:rsidR="000165F5" w:rsidRPr="00DD2B6E" w:rsidRDefault="000165F5" w:rsidP="006F0D93">
            <w:pPr>
              <w:rPr>
                <w:rFonts w:cs="Arial"/>
                <w:color w:val="000000"/>
              </w:rPr>
            </w:pPr>
          </w:p>
          <w:p w14:paraId="342CE508" w14:textId="77777777" w:rsidR="000165F5" w:rsidRPr="00DD2B6E" w:rsidRDefault="000165F5" w:rsidP="006F0D93">
            <w:pPr>
              <w:rPr>
                <w:rFonts w:cs="Arial"/>
                <w:color w:val="000000"/>
              </w:rPr>
            </w:pPr>
          </w:p>
          <w:p w14:paraId="395B2073" w14:textId="77777777" w:rsidR="000165F5" w:rsidRPr="00DD2B6E" w:rsidRDefault="000165F5" w:rsidP="006F0D93">
            <w:pPr>
              <w:rPr>
                <w:rFonts w:cs="Arial"/>
                <w:color w:val="000000"/>
              </w:rPr>
            </w:pPr>
          </w:p>
          <w:p w14:paraId="77F8AC9F" w14:textId="77777777" w:rsidR="000165F5" w:rsidRPr="00DD2B6E" w:rsidRDefault="000165F5" w:rsidP="006F0D93">
            <w:pPr>
              <w:rPr>
                <w:rFonts w:cs="Arial"/>
                <w:color w:val="000000"/>
              </w:rPr>
            </w:pPr>
          </w:p>
          <w:p w14:paraId="1A034F98" w14:textId="5A024047" w:rsidR="000165F5" w:rsidRPr="00DD2B6E" w:rsidRDefault="000165F5" w:rsidP="006F0D93">
            <w:pPr>
              <w:rPr>
                <w:rFonts w:cs="Arial"/>
              </w:rPr>
            </w:pPr>
            <w:r w:rsidRPr="00DD2B6E">
              <w:rPr>
                <w:rFonts w:cs="Arial"/>
                <w:color w:val="000000"/>
              </w:rPr>
              <w:t xml:space="preserve">                            Word length</w:t>
            </w:r>
            <w:r>
              <w:rPr>
                <w:rFonts w:cs="Arial"/>
                <w:color w:val="000000"/>
              </w:rPr>
              <w:t xml:space="preserve"> : 549</w:t>
            </w:r>
            <w:r w:rsidR="00466DA9">
              <w:rPr>
                <w:rFonts w:cs="Arial"/>
                <w:color w:val="000000"/>
              </w:rPr>
              <w:t>9</w:t>
            </w:r>
          </w:p>
        </w:tc>
      </w:tr>
      <w:tr w:rsidR="00AB64E2" w:rsidRPr="00DD2B6E" w14:paraId="3A0963E9" w14:textId="77777777" w:rsidTr="006F0D93">
        <w:trPr>
          <w:trHeight w:val="1903"/>
          <w:jc w:val="center"/>
        </w:trPr>
        <w:tc>
          <w:tcPr>
            <w:tcW w:w="4325" w:type="dxa"/>
            <w:tcBorders>
              <w:right w:val="nil"/>
            </w:tcBorders>
          </w:tcPr>
          <w:p w14:paraId="09665F19" w14:textId="77777777" w:rsidR="00AB64E2" w:rsidRPr="00DD2B6E" w:rsidRDefault="00AB64E2" w:rsidP="006F0D93">
            <w:pPr>
              <w:rPr>
                <w:rFonts w:cs="Arial"/>
                <w:noProof/>
                <w:color w:val="000000"/>
              </w:rPr>
            </w:pPr>
            <w:r w:rsidRPr="00DD2B6E">
              <w:rPr>
                <w:rFonts w:cs="Arial"/>
                <w:noProof/>
                <w:color w:val="000000"/>
              </w:rPr>
              <w:t>Any Additional Information</w:t>
            </w:r>
          </w:p>
        </w:tc>
        <w:tc>
          <w:tcPr>
            <w:tcW w:w="5575" w:type="dxa"/>
            <w:tcBorders>
              <w:left w:val="nil"/>
            </w:tcBorders>
          </w:tcPr>
          <w:p w14:paraId="375B0631" w14:textId="77777777" w:rsidR="00AB64E2" w:rsidRPr="00DD2B6E" w:rsidRDefault="00AB64E2" w:rsidP="006F0D93">
            <w:pPr>
              <w:rPr>
                <w:rFonts w:cs="Arial"/>
                <w:color w:val="000000"/>
              </w:rPr>
            </w:pPr>
          </w:p>
        </w:tc>
      </w:tr>
    </w:tbl>
    <w:p w14:paraId="154AC0E2" w14:textId="77777777" w:rsidR="00AB64E2" w:rsidRPr="00DD2B6E" w:rsidRDefault="00AB64E2" w:rsidP="00AB64E2">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right" w:pos="9007"/>
        </w:tabs>
        <w:ind w:right="20"/>
        <w:rPr>
          <w:rFonts w:cs="Arial"/>
          <w:b/>
        </w:rPr>
      </w:pPr>
      <w:r w:rsidRPr="00DD2B6E">
        <w:rPr>
          <w:rFonts w:cs="Arial"/>
          <w:b/>
        </w:rPr>
        <w:t xml:space="preserve">Statement: </w:t>
      </w:r>
    </w:p>
    <w:p w14:paraId="6FD64C68" w14:textId="77777777" w:rsidR="00AB64E2" w:rsidRPr="00DD2B6E" w:rsidRDefault="00AB64E2" w:rsidP="00AB64E2">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right" w:pos="9007"/>
        </w:tabs>
        <w:ind w:right="20"/>
        <w:rPr>
          <w:rFonts w:cs="Arial"/>
          <w:b/>
          <w:bCs/>
        </w:rPr>
      </w:pPr>
      <w:r w:rsidRPr="00DD2B6E">
        <w:rPr>
          <w:rFonts w:cs="Arial"/>
          <w:bCs/>
        </w:rPr>
        <w:t>I confirm that I have read and understood the Institute’s Code on Citing Sourc</w:t>
      </w:r>
      <w:r>
        <w:rPr>
          <w:rFonts w:cs="Arial"/>
          <w:bCs/>
        </w:rPr>
        <w:t>es and Avoidance of Plagiarism.</w:t>
      </w:r>
      <w:r w:rsidRPr="00DD2B6E">
        <w:rPr>
          <w:rFonts w:cs="Arial"/>
          <w:bCs/>
        </w:rPr>
        <w:t xml:space="preserve"> I confirm that this assignment is all my own </w:t>
      </w:r>
      <w:r>
        <w:rPr>
          <w:rFonts w:cs="Arial"/>
          <w:bCs/>
        </w:rPr>
        <w:t>work and co</w:t>
      </w:r>
      <w:r>
        <w:rPr>
          <w:rFonts w:cs="Arial"/>
          <w:bCs/>
        </w:rPr>
        <w:t>n</w:t>
      </w:r>
      <w:r>
        <w:rPr>
          <w:rFonts w:cs="Arial"/>
          <w:bCs/>
        </w:rPr>
        <w:t>forms to this Code.</w:t>
      </w:r>
      <w:r w:rsidRPr="00DD2B6E">
        <w:rPr>
          <w:rFonts w:cs="Arial"/>
          <w:bCs/>
        </w:rPr>
        <w:t xml:space="preserve"> This assignment has not been submitted on another occasion.</w:t>
      </w:r>
    </w:p>
    <w:p w14:paraId="0B3E155D" w14:textId="77777777" w:rsidR="00AB64E2" w:rsidRPr="00DD2B6E" w:rsidRDefault="00AB64E2" w:rsidP="00AB64E2">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right" w:pos="9007"/>
        </w:tabs>
        <w:ind w:right="20"/>
        <w:rPr>
          <w:rFonts w:cs="Arial"/>
          <w:b/>
          <w:bCs/>
        </w:rPr>
      </w:pPr>
    </w:p>
    <w:p w14:paraId="67C653B2" w14:textId="6E6024E9" w:rsidR="00AB64E2" w:rsidRPr="00DD2B6E" w:rsidRDefault="00AB64E2" w:rsidP="00AB64E2">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right" w:pos="9007"/>
        </w:tabs>
        <w:ind w:right="20"/>
        <w:rPr>
          <w:rFonts w:cs="Arial"/>
          <w:b/>
          <w:bCs/>
        </w:rPr>
      </w:pPr>
      <w:r w:rsidRPr="00DD2B6E">
        <w:rPr>
          <w:rFonts w:cs="Arial"/>
          <w:b/>
          <w:bCs/>
        </w:rPr>
        <w:t>Signed</w:t>
      </w:r>
      <w:r>
        <w:rPr>
          <w:rFonts w:cs="Arial"/>
          <w:b/>
          <w:bCs/>
        </w:rPr>
        <w:t>: …………</w:t>
      </w:r>
      <w:r w:rsidRPr="00D266A9">
        <w:rPr>
          <w:rFonts w:cs="Arial"/>
          <w:b/>
          <w:bCs/>
        </w:rPr>
        <w:t xml:space="preserve"> </w:t>
      </w:r>
      <w:r w:rsidR="000165F5">
        <w:rPr>
          <w:rFonts w:cs="Arial"/>
          <w:b/>
          <w:bCs/>
        </w:rPr>
        <w:t>Stéphane Jacquet</w:t>
      </w:r>
      <w:r>
        <w:rPr>
          <w:rFonts w:cs="Arial"/>
          <w:b/>
          <w:bCs/>
        </w:rPr>
        <w:tab/>
        <w:t xml:space="preserve">Date: </w:t>
      </w:r>
      <w:r w:rsidR="000165F5">
        <w:rPr>
          <w:rFonts w:cs="Arial"/>
          <w:b/>
          <w:bCs/>
        </w:rPr>
        <w:t>11-5-15</w:t>
      </w:r>
    </w:p>
    <w:p w14:paraId="330CC2F9" w14:textId="77777777" w:rsidR="00AB64E2" w:rsidRDefault="00AB64E2">
      <w:pPr>
        <w:spacing w:after="0" w:line="240" w:lineRule="auto"/>
        <w:ind w:left="0" w:right="0" w:firstLine="0"/>
        <w:contextualSpacing w:val="0"/>
        <w:jc w:val="left"/>
        <w:rPr>
          <w:rFonts w:eastAsiaTheme="majorEastAsia" w:cstheme="majorBidi"/>
          <w:spacing w:val="5"/>
          <w:kern w:val="28"/>
          <w:sz w:val="52"/>
          <w:szCs w:val="52"/>
        </w:rPr>
      </w:pPr>
      <w:r>
        <w:br w:type="page"/>
      </w:r>
    </w:p>
    <w:p w14:paraId="1AC21171" w14:textId="4B963A25" w:rsidR="0060199F" w:rsidRDefault="00732454" w:rsidP="0060199F">
      <w:pPr>
        <w:pStyle w:val="Title"/>
      </w:pPr>
      <w:r>
        <w:lastRenderedPageBreak/>
        <w:t>Critique of the ‘</w:t>
      </w:r>
      <w:r w:rsidR="0060199F">
        <w:t>Citizenship Education in England, France and Scot</w:t>
      </w:r>
      <w:r>
        <w:t>land’ Report</w:t>
      </w:r>
      <w:r w:rsidR="0060199F">
        <w:t xml:space="preserve"> </w:t>
      </w:r>
    </w:p>
    <w:p w14:paraId="2CE5C01B" w14:textId="77777777" w:rsidR="00914569" w:rsidRDefault="00914569" w:rsidP="001E3125">
      <w:pPr>
        <w:pStyle w:val="Heading1"/>
        <w:ind w:left="708" w:hanging="538"/>
      </w:pPr>
      <w:r>
        <w:t>Introduction</w:t>
      </w:r>
    </w:p>
    <w:p w14:paraId="1E7A7D1D" w14:textId="77777777" w:rsidR="00545F1C" w:rsidRDefault="00914569" w:rsidP="00545F1C">
      <w:r>
        <w:t>In this assignment I analyse a document issued in 2008 – Citizenship Education in England, France and Scotland (CEEFS) – jointly authored by the department of education of these three countries and which reports the findings of a comparative stu</w:t>
      </w:r>
      <w:r w:rsidR="00710287">
        <w:t>dy on citizenship education aiming</w:t>
      </w:r>
      <w:r>
        <w:t xml:space="preserve"> to make a contribution to the construction of European citizenship. My purpose is to assess the extent to which CEEFS includes Development Education (DE) principles and addresses the challenges globalisation poses to citizenship education. There are two main reasons why CEEFS has a</w:t>
      </w:r>
      <w:r>
        <w:t>p</w:t>
      </w:r>
      <w:r>
        <w:t>peared to me as a worthwhile document for this assignment. For one thing, the comparative study aroused my interest</w:t>
      </w:r>
      <w:r w:rsidRPr="00C11BD6">
        <w:t xml:space="preserve"> </w:t>
      </w:r>
      <w:r>
        <w:t>as a French citizen</w:t>
      </w:r>
      <w:r w:rsidR="00710287">
        <w:t xml:space="preserve"> living and studying in England;</w:t>
      </w:r>
      <w:r>
        <w:t xml:space="preserve"> for another, the introductory statement of CEEFS with regard to Europ</w:t>
      </w:r>
      <w:r>
        <w:t>e</w:t>
      </w:r>
      <w:r>
        <w:t>an citizenship seemed to frame the qu</w:t>
      </w:r>
      <w:r w:rsidR="00710287">
        <w:t>estion of citizenship in a post</w:t>
      </w:r>
      <w:r>
        <w:t>national perspe</w:t>
      </w:r>
      <w:r>
        <w:t>c</w:t>
      </w:r>
      <w:r>
        <w:t>tive that resonates with the debates on cosmopolitanism and global citizenship ce</w:t>
      </w:r>
      <w:r>
        <w:t>n</w:t>
      </w:r>
      <w:r>
        <w:t xml:space="preserve">tral to DE. </w:t>
      </w:r>
    </w:p>
    <w:p w14:paraId="6E229785" w14:textId="607B946B" w:rsidR="00545F1C" w:rsidRDefault="00914569" w:rsidP="00545F1C">
      <w:r>
        <w:t xml:space="preserve">I conduct this analysis </w:t>
      </w:r>
      <w:r w:rsidR="00631A38">
        <w:t>using</w:t>
      </w:r>
      <w:r>
        <w:t xml:space="preserve"> a theoretical framework from</w:t>
      </w:r>
      <w:r w:rsidRPr="00E44C12">
        <w:t xml:space="preserve"> </w:t>
      </w:r>
      <w:r>
        <w:t xml:space="preserve">Abowitz and Harnish (2006). </w:t>
      </w:r>
      <w:r w:rsidR="006F0D93">
        <w:t>T</w:t>
      </w:r>
      <w:r>
        <w:t>heir study of citizenship education as discursive practices in the United States</w:t>
      </w:r>
      <w:r w:rsidR="006F0D93">
        <w:t xml:space="preserve">, based on Foucaldian discourse analysis, </w:t>
      </w:r>
      <w:r>
        <w:t>can usefully be transposed to other Western democracies and shed light on the ideologies underpinning such discourses in Europe. This framework is particularly helpful in identifying marginalised di</w:t>
      </w:r>
      <w:r>
        <w:t>s</w:t>
      </w:r>
      <w:r>
        <w:t>courses such as “critical citizeships” or “tr</w:t>
      </w:r>
      <w:r w:rsidR="00631A38">
        <w:t>ansnational citizenship”, and in revealing</w:t>
      </w:r>
      <w:r>
        <w:t xml:space="preserve"> areas where DE principles may be applied to improve CEEFS and recommend</w:t>
      </w:r>
      <w:r>
        <w:t>a</w:t>
      </w:r>
      <w:r>
        <w:t xml:space="preserve">tions be made. </w:t>
      </w:r>
      <w:r w:rsidR="00545F1C">
        <w:t>Abowitz and Harnish tend to approach the concept of citizenship from the perspective of the various legal frames within which citizens may exercise th</w:t>
      </w:r>
      <w:r w:rsidR="00B2397D">
        <w:t>eir citizenship, rather than fro</w:t>
      </w:r>
      <w:r w:rsidR="00545F1C">
        <w:t>m that of the social practices in which they engage, or should engage (Tully 2014). These practices may require the identification of sp</w:t>
      </w:r>
      <w:r w:rsidR="00545F1C">
        <w:t>e</w:t>
      </w:r>
      <w:r w:rsidR="00545F1C">
        <w:t xml:space="preserve">cific skills which education for citizenship must consider. </w:t>
      </w:r>
      <w:r>
        <w:t xml:space="preserve">I therefore examine </w:t>
      </w:r>
      <w:r w:rsidR="007B5965">
        <w:t>this question</w:t>
      </w:r>
      <w:r>
        <w:t xml:space="preserve"> in a specific section.</w:t>
      </w:r>
    </w:p>
    <w:p w14:paraId="72925D73" w14:textId="3102D3F7" w:rsidR="00914569" w:rsidRDefault="00914569" w:rsidP="00545F1C">
      <w:r>
        <w:t xml:space="preserve">The first </w:t>
      </w:r>
      <w:r w:rsidR="00631A38">
        <w:t>part</w:t>
      </w:r>
      <w:r>
        <w:t xml:space="preserve"> of this assignment introduces CEEFS further, puts it into context and identifies key questions as to its relevance as a framework for European citize</w:t>
      </w:r>
      <w:r>
        <w:t>n</w:t>
      </w:r>
      <w:r>
        <w:t>ship education, and as to its potential in terms of DE principles. The following se</w:t>
      </w:r>
      <w:r>
        <w:t>c</w:t>
      </w:r>
      <w:r>
        <w:t>tions address these questions in relation to themes eme</w:t>
      </w:r>
      <w:r w:rsidR="00631A38">
        <w:t>rging from Abowitz and Harnish (2006)</w:t>
      </w:r>
      <w:r>
        <w:t>, i.e. liberal citizenship, critical citizenships and transnational citize</w:t>
      </w:r>
      <w:r>
        <w:t>n</w:t>
      </w:r>
      <w:r w:rsidR="00F1363E">
        <w:t>ship;</w:t>
      </w:r>
      <w:r>
        <w:t xml:space="preserve"> then </w:t>
      </w:r>
      <w:r w:rsidR="00631A38">
        <w:t>carries out a discussion about</w:t>
      </w:r>
      <w:r>
        <w:t xml:space="preserve"> skills</w:t>
      </w:r>
      <w:r w:rsidR="00631A38">
        <w:t xml:space="preserve"> for citizenship</w:t>
      </w:r>
      <w:r>
        <w:t xml:space="preserve">. Each section in turn discusses theoretical principles </w:t>
      </w:r>
      <w:r w:rsidR="00C93DBE">
        <w:t xml:space="preserve">pertaining to DE </w:t>
      </w:r>
      <w:r>
        <w:t>and applies them to a critique of the document. Finally, the last section makes a number of recommendations. It is worthwhile noting that CEEFS does not situate itself within a development educ</w:t>
      </w:r>
      <w:r>
        <w:t>a</w:t>
      </w:r>
      <w:r>
        <w:t>tion debate, and it would certainly be unfair to criticise it for failing to do so. It can confidently be argued, however, that the profound changes undergone by our soci</w:t>
      </w:r>
      <w:r>
        <w:t>e</w:t>
      </w:r>
      <w:r>
        <w:t>ties command citizenship education policy-makers to consider the impact of global</w:t>
      </w:r>
      <w:r>
        <w:t>i</w:t>
      </w:r>
      <w:r>
        <w:t>sation</w:t>
      </w:r>
      <w:r w:rsidR="003544F5">
        <w:t xml:space="preserve"> on society and</w:t>
      </w:r>
      <w:r>
        <w:t xml:space="preserve"> education, and ways to equip learners with suitable skills. </w:t>
      </w:r>
      <w:r w:rsidR="00B05E5E">
        <w:t>The following demonstrates CEEFS is inadequate.</w:t>
      </w:r>
    </w:p>
    <w:p w14:paraId="74180427" w14:textId="77777777" w:rsidR="00914569" w:rsidRDefault="00914569" w:rsidP="00914569">
      <w:pPr>
        <w:pStyle w:val="Heading1"/>
      </w:pPr>
      <w:r>
        <w:t>CEEFS – The document</w:t>
      </w:r>
    </w:p>
    <w:p w14:paraId="58644447" w14:textId="1A5355F6" w:rsidR="00914569" w:rsidRDefault="00914569" w:rsidP="00C26B77">
      <w:r>
        <w:t>The transformations the world has undergone over the last decades include the declining influence of the nation-state, both as an economic player on the world stage (S</w:t>
      </w:r>
      <w:r w:rsidRPr="003629A7">
        <w:t>tromquist</w:t>
      </w:r>
      <w:r>
        <w:t xml:space="preserve"> </w:t>
      </w:r>
      <w:r w:rsidRPr="003629A7">
        <w:t xml:space="preserve">and </w:t>
      </w:r>
      <w:r>
        <w:t>M</w:t>
      </w:r>
      <w:r w:rsidRPr="003629A7">
        <w:t>onkman</w:t>
      </w:r>
      <w:bookmarkStart w:id="0" w:name="_GoBack"/>
      <w:bookmarkEnd w:id="0"/>
      <w:r>
        <w:t xml:space="preserve"> </w:t>
      </w:r>
      <w:r w:rsidR="00C26B77">
        <w:t xml:space="preserve">2000, Brown, Lauder and Ashton </w:t>
      </w:r>
      <w:r>
        <w:t>2007) and as the only reference for iden</w:t>
      </w:r>
      <w:r w:rsidR="00C26B77">
        <w:t>tity and loyalty (Killick 2015, Osler and Starkey</w:t>
      </w:r>
      <w:r>
        <w:t xml:space="preserve"> 2003). The increasing power of transnational corporations and its corollary, the demise of the welfare-state (S</w:t>
      </w:r>
      <w:r w:rsidRPr="003629A7">
        <w:t>tromquist</w:t>
      </w:r>
      <w:r>
        <w:t xml:space="preserve"> </w:t>
      </w:r>
      <w:r w:rsidRPr="003629A7">
        <w:t xml:space="preserve">and </w:t>
      </w:r>
      <w:r>
        <w:t>M</w:t>
      </w:r>
      <w:r w:rsidRPr="003629A7">
        <w:t>onkman</w:t>
      </w:r>
      <w:r>
        <w:t xml:space="preserve"> 2000), the extension and the political int</w:t>
      </w:r>
      <w:r>
        <w:t>e</w:t>
      </w:r>
      <w:r>
        <w:t>gration of th</w:t>
      </w:r>
      <w:r w:rsidR="00C26B77">
        <w:t xml:space="preserve">e European Union (EU) (Marshall </w:t>
      </w:r>
      <w:r>
        <w:t>20</w:t>
      </w:r>
      <w:r w:rsidR="00C26B77">
        <w:t>09), increasing migration (Salt</w:t>
      </w:r>
      <w:r>
        <w:t xml:space="preserve"> 2008), the role of the media and new technologies in transforming perceptions of time, space, culture and identity (Appadu</w:t>
      </w:r>
      <w:r w:rsidR="00C26B77">
        <w:t>rai</w:t>
      </w:r>
      <w:r>
        <w:t xml:space="preserve"> 1996), constitute the complex context within which France as well as the United Kingdom are questioning notions of n</w:t>
      </w:r>
      <w:r>
        <w:t>a</w:t>
      </w:r>
      <w:r>
        <w:t>tional identity and citizenship. The question of Britishness has received considerable attention in the public debate over the past dec</w:t>
      </w:r>
      <w:r w:rsidR="00C26B77">
        <w:t>ade (Marshall</w:t>
      </w:r>
      <w:r>
        <w:t xml:space="preserve"> 2009) and was revived with the 2014 Scottish independence referendum; in France, a controversial Ministry of National Identity was created in 2007 – although disbanded in 2010 – to address what President Hollande (2015) recently qualified as France’s</w:t>
      </w:r>
      <w:r w:rsidRPr="002B0659">
        <w:rPr>
          <w:i/>
        </w:rPr>
        <w:t xml:space="preserve"> serious </w:t>
      </w:r>
      <w:r w:rsidRPr="00FA6DB6">
        <w:t>identity crisis</w:t>
      </w:r>
      <w:r>
        <w:t xml:space="preserve">. </w:t>
      </w:r>
    </w:p>
    <w:p w14:paraId="199C383A" w14:textId="54BF1EB4" w:rsidR="00914569" w:rsidRDefault="00D4436E" w:rsidP="00D4436E">
      <w:r>
        <w:t>Similar factors have challenged citizenship education in European democracies</w:t>
      </w:r>
      <w:r w:rsidR="00B6598B">
        <w:t xml:space="preserve">, although triggering </w:t>
      </w:r>
      <w:r w:rsidR="000D7640">
        <w:t>different</w:t>
      </w:r>
      <w:r w:rsidR="00B6598B">
        <w:t xml:space="preserve"> responses. </w:t>
      </w:r>
      <w:r>
        <w:t xml:space="preserve">In </w:t>
      </w:r>
      <w:r w:rsidR="00914569">
        <w:t xml:space="preserve">France and the UK in particular, </w:t>
      </w:r>
      <w:r>
        <w:t>it</w:t>
      </w:r>
      <w:r w:rsidR="00914569">
        <w:t xml:space="preserve"> has been entrusted with the mission of responding to a worrying decline in the particip</w:t>
      </w:r>
      <w:r w:rsidR="00914569">
        <w:t>a</w:t>
      </w:r>
      <w:r w:rsidR="00914569">
        <w:t>tion of young people in formal democratic processes, and of federating their popul</w:t>
      </w:r>
      <w:r w:rsidR="00914569">
        <w:t>a</w:t>
      </w:r>
      <w:r w:rsidR="00914569">
        <w:t>tions ar</w:t>
      </w:r>
      <w:r w:rsidR="00C26B77">
        <w:t>ound strong common values (Pike 2008, Osler and Starkey 2010, Johnson and Morris</w:t>
      </w:r>
      <w:r w:rsidR="00914569">
        <w:t xml:space="preserve"> 2012)</w:t>
      </w:r>
      <w:r>
        <w:t>.</w:t>
      </w:r>
      <w:r w:rsidR="00BD74DE">
        <w:t xml:space="preserve"> </w:t>
      </w:r>
      <w:r w:rsidR="00914569">
        <w:t xml:space="preserve">France, England and Scotland </w:t>
      </w:r>
      <w:r w:rsidR="006F0D93">
        <w:t xml:space="preserve">however, </w:t>
      </w:r>
      <w:r w:rsidR="00914569">
        <w:t xml:space="preserve">have distinct conceptions of citizenship, rooted in their particular histories of state formation. Furthermore, each has a particular relationship with the EU and therefore different dispositions towards the idea of European citizenship. Johnson and Morris (2012) </w:t>
      </w:r>
      <w:r w:rsidR="00831B08">
        <w:t>remark</w:t>
      </w:r>
      <w:r w:rsidR="00914569">
        <w:t xml:space="preserve"> that the French conception of citizenship, imbued with universal values, is readily tran</w:t>
      </w:r>
      <w:r w:rsidR="00914569">
        <w:t>s</w:t>
      </w:r>
      <w:r w:rsidR="00914569">
        <w:t xml:space="preserve">ferred, in school textbooks, to the European level, whereas the more distant </w:t>
      </w:r>
      <w:r w:rsidR="006F0D93">
        <w:t>attitude</w:t>
      </w:r>
      <w:r w:rsidR="00914569">
        <w:t xml:space="preserve"> of Eng</w:t>
      </w:r>
      <w:r w:rsidR="00B6598B">
        <w:t>land</w:t>
      </w:r>
      <w:r w:rsidR="00914569">
        <w:t xml:space="preserve"> suggests less identification to European citizenship. As a result, in En</w:t>
      </w:r>
      <w:r w:rsidR="00914569">
        <w:t>g</w:t>
      </w:r>
      <w:r w:rsidR="00B6598B">
        <w:t xml:space="preserve">land, despite </w:t>
      </w:r>
      <w:r w:rsidR="00914569">
        <w:t>EU recommendations for European-citizenship education, the Eur</w:t>
      </w:r>
      <w:r w:rsidR="00914569">
        <w:t>o</w:t>
      </w:r>
      <w:r w:rsidR="00914569">
        <w:t>pean level has disappeared between “Britishness” and the</w:t>
      </w:r>
      <w:r w:rsidR="00C26B77">
        <w:t xml:space="preserve"> “global perspective” (Ma</w:t>
      </w:r>
      <w:r w:rsidR="00C26B77">
        <w:t>r</w:t>
      </w:r>
      <w:r w:rsidR="00C26B77">
        <w:t>shall</w:t>
      </w:r>
      <w:r w:rsidR="00914569">
        <w:t xml:space="preserve"> 2009). Conversely, in Scotland, the European dimension is playing an increa</w:t>
      </w:r>
      <w:r w:rsidR="00914569">
        <w:t>s</w:t>
      </w:r>
      <w:r w:rsidR="00914569">
        <w:t>ingly prominent role in educational policy and dis</w:t>
      </w:r>
      <w:r w:rsidR="00C26B77">
        <w:t>course (Marshall</w:t>
      </w:r>
      <w:r w:rsidR="00914569">
        <w:t xml:space="preserve"> 2009).</w:t>
      </w:r>
    </w:p>
    <w:p w14:paraId="1925DA25" w14:textId="79CD8D0D" w:rsidR="00914569" w:rsidRDefault="00914569" w:rsidP="00914569">
      <w:r>
        <w:t>The F</w:t>
      </w:r>
      <w:r w:rsidRPr="00E22449">
        <w:t>orward</w:t>
      </w:r>
      <w:r w:rsidR="003D3C8F">
        <w:t xml:space="preserve"> indicates CEEFS</w:t>
      </w:r>
      <w:r>
        <w:t xml:space="preserve"> is resulting from a double initiative: an Anglo-French, on the one hand, and a Franco-Scottish educational agreement on the other, and is endorsed by all three departments of education alongside local authorities and the Brit</w:t>
      </w:r>
      <w:r w:rsidR="003D3C8F">
        <w:t>ish Council. As for methodology</w:t>
      </w:r>
      <w:r>
        <w:t>, the document only mentions three mee</w:t>
      </w:r>
      <w:r>
        <w:t>t</w:t>
      </w:r>
      <w:r>
        <w:t xml:space="preserve">ings of </w:t>
      </w:r>
      <w:r w:rsidR="00923A06">
        <w:t xml:space="preserve">experts </w:t>
      </w:r>
      <w:r w:rsidR="003D3C8F">
        <w:t>in 2006-07, and states that</w:t>
      </w:r>
      <w:r>
        <w:t xml:space="preserve"> discussions resulted in a comparative grid aimed at showing the relative similarity of the concepts of citizenshi</w:t>
      </w:r>
      <w:r w:rsidR="00923A06">
        <w:t>p in all three countries, and</w:t>
      </w:r>
      <w:r>
        <w:t xml:space="preserve"> highlight</w:t>
      </w:r>
      <w:r w:rsidR="00923A06">
        <w:t>ed</w:t>
      </w:r>
      <w:r>
        <w:t xml:space="preserve"> the common priority to give youth the means to partic</w:t>
      </w:r>
      <w:r>
        <w:t>i</w:t>
      </w:r>
      <w:r>
        <w:t>pate politically, economically, culturally and social</w:t>
      </w:r>
      <w:r w:rsidR="003D3C8F">
        <w:t>ly. Finally, m</w:t>
      </w:r>
      <w:r>
        <w:t>en</w:t>
      </w:r>
      <w:r w:rsidR="003D3C8F">
        <w:t>tion is made</w:t>
      </w:r>
      <w:r>
        <w:t xml:space="preserve">, of a “modest contribution to European citizenship based on </w:t>
      </w:r>
      <w:r w:rsidR="00C26B77">
        <w:t>the values of democracy” (CEEFS</w:t>
      </w:r>
      <w:r>
        <w:t xml:space="preserve"> 2008: 2).</w:t>
      </w:r>
    </w:p>
    <w:p w14:paraId="5C2E8572" w14:textId="5F60D89B" w:rsidR="00914569" w:rsidRDefault="00914569" w:rsidP="00914569">
      <w:r>
        <w:t xml:space="preserve">Throughout the twenty-three pages of the report there is, however, no further </w:t>
      </w:r>
      <w:r w:rsidR="00923A06">
        <w:t>reference to</w:t>
      </w:r>
      <w:r>
        <w:t xml:space="preserve"> European citizenship. The word </w:t>
      </w:r>
      <w:r>
        <w:rPr>
          <w:i/>
        </w:rPr>
        <w:t xml:space="preserve">Europe </w:t>
      </w:r>
      <w:r>
        <w:t xml:space="preserve">or </w:t>
      </w:r>
      <w:r>
        <w:rPr>
          <w:i/>
        </w:rPr>
        <w:t>European</w:t>
      </w:r>
      <w:r>
        <w:t xml:space="preserve"> only appears once, in relation to a notio</w:t>
      </w:r>
      <w:r w:rsidR="00C26B77">
        <w:t>n of “defence and peace” (CEEFS</w:t>
      </w:r>
      <w:r>
        <w:t xml:space="preserve"> 2008: 4). What is more, the question of languages, which is undoubtedly a relevant issue for the EU political project, does not receive any att</w:t>
      </w:r>
      <w:r w:rsidR="00923A06">
        <w:t xml:space="preserve">ention – the term only appears once </w:t>
      </w:r>
      <w:r>
        <w:t>within a list of varied sch</w:t>
      </w:r>
      <w:r w:rsidR="00923A06">
        <w:t>ool subjects. The report aims to identify</w:t>
      </w:r>
      <w:r>
        <w:t xml:space="preserve"> commonalities in the concep</w:t>
      </w:r>
      <w:r w:rsidR="00A83F65">
        <w:t xml:space="preserve">tion and promotion </w:t>
      </w:r>
      <w:r>
        <w:t xml:space="preserve">of citizenship education, at the expense of a discussion over national particularities that </w:t>
      </w:r>
      <w:r w:rsidR="00A83F65">
        <w:t>may</w:t>
      </w:r>
      <w:r>
        <w:t xml:space="preserve"> give shape to a “postnational” citizenship, by pointing t</w:t>
      </w:r>
      <w:r>
        <w:t>o</w:t>
      </w:r>
      <w:r>
        <w:t>wards, and overcoming differences. National characteristics that are si</w:t>
      </w:r>
      <w:r w:rsidR="00A83F65">
        <w:t xml:space="preserve">lenced include, notably, </w:t>
      </w:r>
      <w:r>
        <w:t xml:space="preserve">the French notion of citizenship that places social struggle </w:t>
      </w:r>
      <w:r w:rsidR="00C26B77">
        <w:t>at its heart (Osler and Starkey</w:t>
      </w:r>
      <w:r>
        <w:t xml:space="preserve"> 2010), and its focus on solidarity and social rights that can be a</w:t>
      </w:r>
      <w:r>
        <w:t>r</w:t>
      </w:r>
      <w:r>
        <w:t xml:space="preserve">gued to have value in a perspective </w:t>
      </w:r>
      <w:r w:rsidR="00184416">
        <w:t xml:space="preserve">of social critique </w:t>
      </w:r>
      <w:r w:rsidR="00C26B77">
        <w:t>(Johnson and Morris</w:t>
      </w:r>
      <w:r>
        <w:t xml:space="preserve"> 2012). </w:t>
      </w:r>
    </w:p>
    <w:p w14:paraId="7FC2559B" w14:textId="1236DCEA" w:rsidR="00914569" w:rsidRDefault="00914569" w:rsidP="00914569">
      <w:r>
        <w:t>There have been notable developments in the UK, in the implementation of DE principles into the curriculum and the promotion o</w:t>
      </w:r>
      <w:r w:rsidR="00A83F65">
        <w:t>f a global outlook</w:t>
      </w:r>
      <w:r w:rsidR="00C26B77">
        <w:t xml:space="preserve"> (Bourn</w:t>
      </w:r>
      <w:r>
        <w:t xml:space="preserve"> 2015) – contrary to France where the participation of the government in DE initiatives is remarkably poor (Si</w:t>
      </w:r>
      <w:r w:rsidR="00C26B77">
        <w:t>erra, Grega and Ameryckx</w:t>
      </w:r>
      <w:r>
        <w:t xml:space="preserve"> 2012); as an illustration, DE Watch (2010) reports that 4 million Euros were allocated to DE initiatives in 2008</w:t>
      </w:r>
      <w:r w:rsidRPr="00C06C13">
        <w:t xml:space="preserve"> </w:t>
      </w:r>
      <w:r>
        <w:t>in France, when such projects received 727 million for the same year in the UK – yet globalmindedness  is not evidently reflected in CEEFS as a de</w:t>
      </w:r>
      <w:r w:rsidR="00A83F65">
        <w:t>sirable</w:t>
      </w:r>
      <w:r>
        <w:t xml:space="preserve"> citizenship</w:t>
      </w:r>
      <w:r w:rsidR="00A83F65">
        <w:t xml:space="preserve"> a</w:t>
      </w:r>
      <w:r w:rsidR="00A83F65">
        <w:t>t</w:t>
      </w:r>
      <w:r w:rsidR="00A83F65">
        <w:t>tribute</w:t>
      </w:r>
      <w:r>
        <w:t xml:space="preserve">. </w:t>
      </w:r>
    </w:p>
    <w:p w14:paraId="3631311C" w14:textId="1F715841" w:rsidR="008D0CC3" w:rsidRDefault="00A83F65" w:rsidP="008D0CC3">
      <w:r>
        <w:t>The general impression raises questions. T</w:t>
      </w:r>
      <w:r w:rsidR="00914569">
        <w:t>he repor</w:t>
      </w:r>
      <w:r>
        <w:t>t appears as a collage of texts</w:t>
      </w:r>
      <w:r w:rsidR="00914569">
        <w:t xml:space="preserve"> written separate</w:t>
      </w:r>
      <w:r>
        <w:t>ly</w:t>
      </w:r>
      <w:r w:rsidR="00914569">
        <w:t>. Incoherence in the way several rubrics are ad</w:t>
      </w:r>
      <w:r>
        <w:t>dressed and</w:t>
      </w:r>
      <w:r w:rsidR="00914569">
        <w:t xml:space="preserve"> nume</w:t>
      </w:r>
      <w:r w:rsidR="00914569">
        <w:t>r</w:t>
      </w:r>
      <w:r w:rsidR="00914569">
        <w:t>ous</w:t>
      </w:r>
      <w:r>
        <w:t xml:space="preserve"> language </w:t>
      </w:r>
      <w:r w:rsidR="00923A06">
        <w:t>mistakes</w:t>
      </w:r>
      <w:r w:rsidR="00914569">
        <w:t xml:space="preserve"> question the success of the collaboration. Much of the report </w:t>
      </w:r>
      <w:r w:rsidR="008D0CC3">
        <w:t>seems to insist</w:t>
      </w:r>
      <w:r w:rsidR="00914569">
        <w:t xml:space="preserve"> on the skills necessary to be a citizen in a liberal democracy and on the respo</w:t>
      </w:r>
      <w:r w:rsidR="008D0CC3">
        <w:t xml:space="preserve">nsibilities of the individual. It </w:t>
      </w:r>
      <w:r w:rsidR="00914569">
        <w:t>contains notable elements regarding student involvement in local commun</w:t>
      </w:r>
      <w:r>
        <w:t>ities, but t</w:t>
      </w:r>
      <w:r w:rsidR="00C12A45">
        <w:t>he extent to which this</w:t>
      </w:r>
      <w:r w:rsidR="008D0CC3">
        <w:t xml:space="preserve"> participation may lead to </w:t>
      </w:r>
      <w:r w:rsidR="00C12A45">
        <w:t xml:space="preserve">learning is </w:t>
      </w:r>
      <w:r w:rsidR="005444CF">
        <w:t xml:space="preserve">however </w:t>
      </w:r>
      <w:r w:rsidR="00C12A45">
        <w:t xml:space="preserve">questionable. </w:t>
      </w:r>
      <w:r>
        <w:t>Finally</w:t>
      </w:r>
      <w:r w:rsidR="00C12A45">
        <w:t>, t</w:t>
      </w:r>
      <w:r w:rsidR="008D0CC3">
        <w:t>he fact that envi</w:t>
      </w:r>
      <w:r w:rsidR="00C12A45">
        <w:t>ronment</w:t>
      </w:r>
      <w:r w:rsidR="00BF2B31">
        <w:t>al que</w:t>
      </w:r>
      <w:r w:rsidR="00BF2B31">
        <w:t>s</w:t>
      </w:r>
      <w:r w:rsidR="00BF2B31">
        <w:t>tions are</w:t>
      </w:r>
      <w:r w:rsidR="00C12A45">
        <w:t xml:space="preserve"> not even mentioned </w:t>
      </w:r>
      <w:r>
        <w:t>causes</w:t>
      </w:r>
      <w:r w:rsidR="001B01A9">
        <w:t xml:space="preserve"> concerns. </w:t>
      </w:r>
    </w:p>
    <w:p w14:paraId="08ABDFD4" w14:textId="77777777" w:rsidR="00914569" w:rsidRPr="00A82980" w:rsidRDefault="00914569" w:rsidP="00914569">
      <w:pPr>
        <w:pStyle w:val="Heading1"/>
      </w:pPr>
      <w:r>
        <w:t>Discourses on citizenship</w:t>
      </w:r>
    </w:p>
    <w:p w14:paraId="44B66E87" w14:textId="49AA1C9C" w:rsidR="00914569" w:rsidRDefault="00914569" w:rsidP="00914569">
      <w:r>
        <w:t>In this section I detail the theoretical framework for my analysis. Abowitz and Harnish’s (2006) study identifies four broad discourses attributing meanings to cit</w:t>
      </w:r>
      <w:r>
        <w:t>i</w:t>
      </w:r>
      <w:r>
        <w:t>zenship: (1) the civic republican discourse characterised by values of loyalty towards one’s political community, which tends towards patriotism and nationalism; (2) the discourse of liberal citizenship based upon individual freedom and rights – itself d</w:t>
      </w:r>
      <w:r>
        <w:t>i</w:t>
      </w:r>
      <w:r>
        <w:t>vided into neoliberalism characterised by free-market ideology and aggressive ind</w:t>
      </w:r>
      <w:r>
        <w:t>i</w:t>
      </w:r>
      <w:r>
        <w:t>vidualism, and political liberalism which pursues the enlightenment project by pr</w:t>
      </w:r>
      <w:r>
        <w:t>o</w:t>
      </w:r>
      <w:r>
        <w:t>moting reason and critical thinking to form responsible citizens; (3) critical citize</w:t>
      </w:r>
      <w:r>
        <w:t>n</w:t>
      </w:r>
      <w:r>
        <w:t>ship discourses raise questions of membership and identity and reflect the struggle of race- and gender-based minority groups for recognition and inclusion; (4) di</w:t>
      </w:r>
      <w:r>
        <w:t>s</w:t>
      </w:r>
      <w:r>
        <w:t>courses of transnationalism that shift the focus from a region-</w:t>
      </w:r>
      <w:r w:rsidR="001D4651">
        <w:t>centred</w:t>
      </w:r>
      <w:r>
        <w:t xml:space="preserve"> perspective to a global one whereby the national community is seen as interdependent rather than self-contained. The authors’ findings </w:t>
      </w:r>
      <w:r w:rsidR="00F41CED">
        <w:t>underline</w:t>
      </w:r>
      <w:r>
        <w:t xml:space="preserve"> the prominence of the first two cat</w:t>
      </w:r>
      <w:r>
        <w:t>e</w:t>
      </w:r>
      <w:r>
        <w:t xml:space="preserve">gories of discourses in informing meaning and influencing practices of citizenship education in the US despite the increasing influence of the critical discourse in the actual civic realm and of the transnational approach in education. </w:t>
      </w:r>
    </w:p>
    <w:p w14:paraId="25BB18D2" w14:textId="2A930DC0" w:rsidR="00914569" w:rsidRDefault="00914569" w:rsidP="00914569">
      <w:r>
        <w:t xml:space="preserve">While civic republicanism might not be readily </w:t>
      </w:r>
      <w:r w:rsidR="001A4743">
        <w:t>applicable</w:t>
      </w:r>
      <w:r>
        <w:t xml:space="preserve"> to European political culture, political liberalism is undeniably a pillar of the form of citizenship advocated in CEEFS. This point will be the object of the next section while critical and tran</w:t>
      </w:r>
      <w:r>
        <w:t>s</w:t>
      </w:r>
      <w:r>
        <w:t>national approaches will be discussed in further sections.</w:t>
      </w:r>
    </w:p>
    <w:p w14:paraId="15B3F9B9" w14:textId="77777777" w:rsidR="00914569" w:rsidRDefault="00914569" w:rsidP="00914569">
      <w:pPr>
        <w:pStyle w:val="Heading1"/>
      </w:pPr>
      <w:r>
        <w:t>Liberal citizenship</w:t>
      </w:r>
    </w:p>
    <w:p w14:paraId="347FE1FC" w14:textId="138B1888" w:rsidR="00914569" w:rsidRDefault="00914569" w:rsidP="00914569">
      <w:r>
        <w:t>Liberalism is a political philosophy that prioritises individual liberty and the right to pursue one’s “own definition of the good life” within the constraints imposed by the rights of others</w:t>
      </w:r>
      <w:r w:rsidR="00C661E7">
        <w:t xml:space="preserve">. It </w:t>
      </w:r>
      <w:r>
        <w:t>is associated with the emancipation of the individual from the tyranny of absolute monarchies and religion, which relies on the ability of the ind</w:t>
      </w:r>
      <w:r>
        <w:t>i</w:t>
      </w:r>
      <w:r>
        <w:t>vidual to reason, critique, engage in public debates and participate in political dec</w:t>
      </w:r>
      <w:r>
        <w:t>i</w:t>
      </w:r>
      <w:r>
        <w:t>s</w:t>
      </w:r>
      <w:r w:rsidR="00C26B77">
        <w:t>ion making (Abowitz and Harnish</w:t>
      </w:r>
      <w:r>
        <w:t xml:space="preserve"> 2006: 661). Although a complex political do</w:t>
      </w:r>
      <w:r>
        <w:t>c</w:t>
      </w:r>
      <w:r>
        <w:t>trine, two cornerstone notions clearly emerge from liberalism: reason and individua</w:t>
      </w:r>
      <w:r>
        <w:t>l</w:t>
      </w:r>
      <w:r>
        <w:t>ism.</w:t>
      </w:r>
    </w:p>
    <w:p w14:paraId="290D47BB" w14:textId="4B4AA135" w:rsidR="00914569" w:rsidRDefault="00914569" w:rsidP="00914569">
      <w:r>
        <w:t>There are an overwhelming number of claims, in CEEFS, that relate to these E</w:t>
      </w:r>
      <w:r>
        <w:t>n</w:t>
      </w:r>
      <w:r>
        <w:t xml:space="preserve">lightenment ideals and assert the aim to form confident </w:t>
      </w:r>
      <w:r w:rsidRPr="00716FC7">
        <w:rPr>
          <w:i/>
        </w:rPr>
        <w:t>individuals</w:t>
      </w:r>
      <w:r>
        <w:t>, citizens</w:t>
      </w:r>
      <w:r>
        <w:rPr>
          <w:i/>
        </w:rPr>
        <w:t xml:space="preserve"> </w:t>
      </w:r>
      <w:r>
        <w:t xml:space="preserve">who are </w:t>
      </w:r>
      <w:r>
        <w:rPr>
          <w:i/>
        </w:rPr>
        <w:t>responsible</w:t>
      </w:r>
      <w:r>
        <w:t xml:space="preserve">, demonstrate </w:t>
      </w:r>
      <w:r>
        <w:rPr>
          <w:i/>
        </w:rPr>
        <w:t xml:space="preserve">judgement </w:t>
      </w:r>
      <w:r>
        <w:t xml:space="preserve">have </w:t>
      </w:r>
      <w:r w:rsidRPr="00716FC7">
        <w:rPr>
          <w:i/>
        </w:rPr>
        <w:t>critical thinking</w:t>
      </w:r>
      <w:r>
        <w:t xml:space="preserve"> skills to participate in discu</w:t>
      </w:r>
      <w:r>
        <w:t>s</w:t>
      </w:r>
      <w:r>
        <w:t xml:space="preserve">sions and debates. These statements about critical thinking and rational judgement can be questioned, however, with respect to the seeming dissociation of rights and responsibility. </w:t>
      </w:r>
      <w:r w:rsidR="00C26B77">
        <w:t>While</w:t>
      </w:r>
      <w:r>
        <w:t xml:space="preserve"> the notion of rights, which appears seven times throughout the document, is associated four times with the words </w:t>
      </w:r>
      <w:r>
        <w:rPr>
          <w:i/>
        </w:rPr>
        <w:t>responsibility</w:t>
      </w:r>
      <w:r>
        <w:t xml:space="preserve"> or </w:t>
      </w:r>
      <w:r>
        <w:rPr>
          <w:i/>
        </w:rPr>
        <w:t>duties</w:t>
      </w:r>
      <w:r>
        <w:t xml:space="preserve">, the terms </w:t>
      </w:r>
      <w:r>
        <w:rPr>
          <w:i/>
        </w:rPr>
        <w:t>r</w:t>
      </w:r>
      <w:r>
        <w:rPr>
          <w:i/>
        </w:rPr>
        <w:t>e</w:t>
      </w:r>
      <w:r>
        <w:rPr>
          <w:i/>
        </w:rPr>
        <w:t>sponsible/</w:t>
      </w:r>
      <w:r w:rsidR="00D1422B">
        <w:rPr>
          <w:i/>
        </w:rPr>
        <w:t>responsi</w:t>
      </w:r>
      <w:r>
        <w:rPr>
          <w:i/>
        </w:rPr>
        <w:t>bly/</w:t>
      </w:r>
      <w:r w:rsidR="00D1422B">
        <w:rPr>
          <w:i/>
        </w:rPr>
        <w:t>responsi</w:t>
      </w:r>
      <w:r>
        <w:rPr>
          <w:i/>
        </w:rPr>
        <w:t>bility</w:t>
      </w:r>
      <w:r>
        <w:t xml:space="preserve"> appear </w:t>
      </w:r>
      <w:r w:rsidR="00C26B77">
        <w:t>thirty-two times. Landau (In Abowitz and Harnish</w:t>
      </w:r>
      <w:r>
        <w:t xml:space="preserve"> 2006) denounces certain forms of citizenship education that overemphasise the notion of responsibility over that of rights, and train students to obey rather than to engage critically. She observes that teaching about rights and then helping st</w:t>
      </w:r>
      <w:r>
        <w:t>u</w:t>
      </w:r>
      <w:r>
        <w:t xml:space="preserve">dents to understand the responsibilities they entail would have more pedagogical value. I also follow Scheunpflug (2008), when she cites Kant, and argues that to teach responsible citizenship, learners need to be presupposed responsible; learners should come to their own ethical conclusions rather than conforming to externally imposed behavioural norms. </w:t>
      </w:r>
    </w:p>
    <w:p w14:paraId="7D8599D6" w14:textId="4C93E686" w:rsidR="00914569" w:rsidRDefault="00914569" w:rsidP="00914569">
      <w:r>
        <w:t>Another notion that raises questions with regard to education is that of individ</w:t>
      </w:r>
      <w:r>
        <w:t>u</w:t>
      </w:r>
      <w:r>
        <w:t xml:space="preserve">alism. Biesta (2008) </w:t>
      </w:r>
      <w:r w:rsidR="00831B08">
        <w:t>maintains</w:t>
      </w:r>
      <w:r>
        <w:t xml:space="preserve"> that the conception of citizenship implemented in the Scottish curriculum in 2004 exemplifies </w:t>
      </w:r>
      <w:r w:rsidR="00831B08">
        <w:t>a clear</w:t>
      </w:r>
      <w:r>
        <w:t xml:space="preserve"> individualistic take. This tendency is also significant in CEEFS. The emphasis on individuals, their responsibility and a</w:t>
      </w:r>
      <w:r>
        <w:t>c</w:t>
      </w:r>
      <w:r>
        <w:t>tions discard an alternative form of citizenship more prone to recognise the value of collective action and a sense of brotherhood. This is evidenced by the fact that n</w:t>
      </w:r>
      <w:r>
        <w:t>o</w:t>
      </w:r>
      <w:r>
        <w:t>tions of solidarity a</w:t>
      </w:r>
      <w:r w:rsidR="00385362">
        <w:t xml:space="preserve">nd of social struggle, </w:t>
      </w:r>
      <w:r>
        <w:t xml:space="preserve">key to understanding French citizenship, </w:t>
      </w:r>
      <w:r w:rsidR="00385362">
        <w:t>are</w:t>
      </w:r>
      <w:r>
        <w:t xml:space="preserve"> forsaken.</w:t>
      </w:r>
      <w:r w:rsidR="00385362">
        <w:t xml:space="preserve"> </w:t>
      </w:r>
    </w:p>
    <w:p w14:paraId="096B9CD5" w14:textId="2724B827" w:rsidR="00914569" w:rsidRDefault="00914569" w:rsidP="00914569">
      <w:r>
        <w:t>The Enlightenment, and poli</w:t>
      </w:r>
      <w:r w:rsidR="00523106">
        <w:t>tical liberalism, conceive of the individual</w:t>
      </w:r>
      <w:r>
        <w:t xml:space="preserve"> </w:t>
      </w:r>
      <w:r w:rsidR="00523106">
        <w:t xml:space="preserve">as </w:t>
      </w:r>
      <w:r>
        <w:t>the heir of the</w:t>
      </w:r>
      <w:r w:rsidR="00C26B77">
        <w:t xml:space="preserve"> ‘Cartesian Subject’ (Andreotti</w:t>
      </w:r>
      <w:r w:rsidR="00523106">
        <w:t xml:space="preserve"> 2011);</w:t>
      </w:r>
      <w:r>
        <w:t xml:space="preserve"> </w:t>
      </w:r>
      <w:r w:rsidR="00523106">
        <w:t>his</w:t>
      </w:r>
      <w:r>
        <w:t xml:space="preserve"> subjectivity is produced by his a</w:t>
      </w:r>
      <w:r>
        <w:t>u</w:t>
      </w:r>
      <w:r>
        <w:t>tonomous consciousness and rationality, rather than by social structures, language and ideology (</w:t>
      </w:r>
      <w:r w:rsidRPr="00557059">
        <w:t>Ashcroft, Griffiths and Tiffin</w:t>
      </w:r>
      <w:r>
        <w:t xml:space="preserve"> 2007). The significance of these dete</w:t>
      </w:r>
      <w:r>
        <w:t>r</w:t>
      </w:r>
      <w:r>
        <w:t xml:space="preserve">minants, which social critique from Marxism </w:t>
      </w:r>
      <w:r w:rsidR="001D4651">
        <w:t>to Poststructuralism has striven</w:t>
      </w:r>
      <w:r>
        <w:t xml:space="preserve"> to r</w:t>
      </w:r>
      <w:r>
        <w:t>e</w:t>
      </w:r>
      <w:r>
        <w:t>veal, should be made apparent however, in a progressive form of citizenship educ</w:t>
      </w:r>
      <w:r>
        <w:t>a</w:t>
      </w:r>
      <w:r>
        <w:t xml:space="preserve">tion, so that learners may reflect </w:t>
      </w:r>
      <w:r w:rsidR="00723CD2">
        <w:t>up</w:t>
      </w:r>
      <w:r>
        <w:t xml:space="preserve">on </w:t>
      </w:r>
      <w:r w:rsidR="00523106">
        <w:t xml:space="preserve">alternative ways to </w:t>
      </w:r>
      <w:r w:rsidR="00723CD2">
        <w:t>understand the self, an</w:t>
      </w:r>
      <w:r w:rsidR="00EE24C7">
        <w:t xml:space="preserve">d </w:t>
      </w:r>
      <w:r w:rsidR="00723CD2">
        <w:t>society</w:t>
      </w:r>
      <w:r w:rsidR="00523106">
        <w:t>.</w:t>
      </w:r>
    </w:p>
    <w:p w14:paraId="006C550D" w14:textId="77777777" w:rsidR="00914569" w:rsidRDefault="00914569" w:rsidP="00914569">
      <w:pPr>
        <w:pStyle w:val="Heading1"/>
      </w:pPr>
      <w:r>
        <w:t>Critical citizenships</w:t>
      </w:r>
    </w:p>
    <w:p w14:paraId="570773A4" w14:textId="4C34BFB4" w:rsidR="00914569" w:rsidRDefault="00914569" w:rsidP="00914569">
      <w:r>
        <w:t>Abowitz and Harnish (2006) highlight the dynamic nature of the meaning of cit</w:t>
      </w:r>
      <w:r>
        <w:t>i</w:t>
      </w:r>
      <w:r>
        <w:t>zenship, which – in different places and times – has encompassed civil, political or social rights, and included different sections of the population. Citizenship has hi</w:t>
      </w:r>
      <w:r>
        <w:t>s</w:t>
      </w:r>
      <w:r>
        <w:t>torically been a concept defin</w:t>
      </w:r>
      <w:r w:rsidR="00C26B77">
        <w:t>ing categories to exclude (Pike 2008, Pashby</w:t>
      </w:r>
      <w:r>
        <w:t xml:space="preserve"> 2012) – Who belongs to the community? Who is to participate? In France, for example, women were only granted the right to vote in 1945; homosexuality was a crime in Scotland until 1980 (Criminal Justice</w:t>
      </w:r>
      <w:r w:rsidRPr="006861D6">
        <w:t xml:space="preserve"> Act 1980</w:t>
      </w:r>
      <w:r>
        <w:t>). Osler and Starkey (2010) note that the French conception of citizenship, predicated upon the principle of assimilation, fails to recognise notions of identity based on ethnicity, culture or religion, which r</w:t>
      </w:r>
      <w:r>
        <w:t>e</w:t>
      </w:r>
      <w:r>
        <w:t>sults in a feeling of exclusion from certain parts of the community. CEEFS does not acknowledge the ongoing struggle for inclusion in the political community citize</w:t>
      </w:r>
      <w:r>
        <w:t>n</w:t>
      </w:r>
      <w:r>
        <w:t xml:space="preserve">ship represents, and presents citizenship as a fixed set of behavioural rules, morals and skills. Critical thinking – although </w:t>
      </w:r>
      <w:r w:rsidR="00FD2DC4">
        <w:t xml:space="preserve">greatly promoted </w:t>
      </w:r>
      <w:r>
        <w:t xml:space="preserve"> – </w:t>
      </w:r>
      <w:r w:rsidR="00FD2DC4">
        <w:t>does not appear as</w:t>
      </w:r>
      <w:r>
        <w:t xml:space="preserve"> a</w:t>
      </w:r>
      <w:r w:rsidR="00FD2DC4">
        <w:t xml:space="preserve"> tool to reflect on alternative </w:t>
      </w:r>
      <w:r>
        <w:t xml:space="preserve">definitions of citizenship </w:t>
      </w:r>
      <w:r w:rsidR="00FD2DC4">
        <w:t xml:space="preserve">and </w:t>
      </w:r>
      <w:r>
        <w:t>engage with issues of incl</w:t>
      </w:r>
      <w:r>
        <w:t>u</w:t>
      </w:r>
      <w:r>
        <w:t xml:space="preserve">sion.  </w:t>
      </w:r>
    </w:p>
    <w:p w14:paraId="53EC42F4" w14:textId="351D576F" w:rsidR="00914569" w:rsidRPr="008C2574" w:rsidRDefault="00914569" w:rsidP="00914569">
      <w:r>
        <w:t xml:space="preserve">In increasingly diverse societies, schooling plays a determining role in defining the contours of political participation. Levinson </w:t>
      </w:r>
      <w:r w:rsidR="00FD2DC4">
        <w:t xml:space="preserve">and Hooley (2014) </w:t>
      </w:r>
      <w:r>
        <w:t>show how gypsy minorities are marginalised from an assimilationist model of citi</w:t>
      </w:r>
      <w:r w:rsidR="00FD2DC4">
        <w:t>zenship in the UK</w:t>
      </w:r>
      <w:r>
        <w:t xml:space="preserve"> and stress the importance of having minority cultures also represented at school. Their conclusion can be extrapolated to all the minorities present today in Western Europe and whose cultures, ways of life and </w:t>
      </w:r>
      <w:r w:rsidR="00FD2DC4">
        <w:t>worldviews</w:t>
      </w:r>
      <w:r>
        <w:t xml:space="preserve"> are not offered as desirable models of citizenship. </w:t>
      </w:r>
      <w:r w:rsidRPr="00D80DA3">
        <w:t>Formal schooling based on one dominant culture</w:t>
      </w:r>
      <w:r>
        <w:t>,</w:t>
      </w:r>
      <w:r w:rsidRPr="00D80DA3">
        <w:t xml:space="preserve"> not only marginalises minorities</w:t>
      </w:r>
      <w:r>
        <w:t>,</w:t>
      </w:r>
      <w:r w:rsidRPr="00D80DA3">
        <w:t xml:space="preserve"> but also disregard</w:t>
      </w:r>
      <w:r>
        <w:t>s</w:t>
      </w:r>
      <w:r w:rsidRPr="00D80DA3">
        <w:t xml:space="preserve"> the potential </w:t>
      </w:r>
      <w:r>
        <w:t xml:space="preserve">that </w:t>
      </w:r>
      <w:r w:rsidRPr="00D80DA3">
        <w:t xml:space="preserve">learning in </w:t>
      </w:r>
      <w:r>
        <w:t xml:space="preserve">and from different </w:t>
      </w:r>
      <w:r w:rsidRPr="00D80DA3">
        <w:t>communities</w:t>
      </w:r>
      <w:r>
        <w:t xml:space="preserve"> yields</w:t>
      </w:r>
      <w:r w:rsidRPr="00D80DA3">
        <w:t xml:space="preserve">. School should be a place to reflect on alternative ways to be a citizen and to engage in social relations. </w:t>
      </w:r>
    </w:p>
    <w:p w14:paraId="29D170EB" w14:textId="774EE6B2" w:rsidR="00914569" w:rsidRDefault="00914569" w:rsidP="002607BF">
      <w:r>
        <w:t>Associating parents to school activities and involving students in extra-curricular socialising processes, thereby extending the learning context to a wider and pote</w:t>
      </w:r>
      <w:r>
        <w:t>n</w:t>
      </w:r>
      <w:r>
        <w:t>tially more inclusive environment, is greatly encouraged by CEEFS. However, crit</w:t>
      </w:r>
      <w:r>
        <w:t>i</w:t>
      </w:r>
      <w:r>
        <w:t xml:space="preserve">cal thinking and the skills to engage in democratic debates are not linked to issues of social justice or to questioning the social status quo. The extent to which these extra-curricular activities are opportunities to reflect, in the classroom, on the way society is structured is not apparent. </w:t>
      </w:r>
      <w:r w:rsidRPr="00D838C2">
        <w:t>For Giroux (1991</w:t>
      </w:r>
      <w:r>
        <w:t>: 307</w:t>
      </w:r>
      <w:r w:rsidRPr="00D838C2">
        <w:t>)</w:t>
      </w:r>
      <w:r>
        <w:t>,</w:t>
      </w:r>
      <w:r w:rsidRPr="00D838C2">
        <w:t xml:space="preserve"> it is an ethical responsibility </w:t>
      </w:r>
      <w:r>
        <w:t>of schools, in democracies</w:t>
      </w:r>
      <w:r w:rsidRPr="00D838C2">
        <w:t>, to allow students to make judgments about “how existing social relations are implicated in relations of equality and justice</w:t>
      </w:r>
      <w:r>
        <w:t>, as well as how they structure inequalities around racism, sexism and other forms of oppression”. Indeed, CEEFS proposes to address violence, for example, and to prevent it by promoting respect and tolerance, but intellectual engagement with the causes of violence or its possible relations with inequality and injustice are not considered. Focussing on the actions</w:t>
      </w:r>
      <w:r w:rsidR="00F037CC">
        <w:t xml:space="preserve"> of the individual and</w:t>
      </w:r>
      <w:r>
        <w:t xml:space="preserve"> </w:t>
      </w:r>
      <w:r w:rsidR="00F037CC">
        <w:t xml:space="preserve">on </w:t>
      </w:r>
      <w:r>
        <w:t>values of respect and tolerance makes the issue one of morals and of individual choice. Similarly, “developing respect and positive att</w:t>
      </w:r>
      <w:r>
        <w:t>i</w:t>
      </w:r>
      <w:r>
        <w:t>tudes towards social di</w:t>
      </w:r>
      <w:r w:rsidR="00F037CC">
        <w:t>versity and inclusion” (CEEFS</w:t>
      </w:r>
      <w:r>
        <w:t xml:space="preserve"> 2008: 4), does not appeal to reflection about the social structures that create the conditions for exclusion. In the </w:t>
      </w:r>
      <w:r>
        <w:rPr>
          <w:i/>
        </w:rPr>
        <w:t>Players</w:t>
      </w:r>
      <w:r>
        <w:t xml:space="preserve"> section of the report, partners for citizenship education include police and magistrates – which questionably provides alternatives to the dominant worldview – but also, it should be noted, charities and NGOs, including the “Who Do We Think We Are” (2015) project, which does have the potential for valuable critical engag</w:t>
      </w:r>
      <w:r>
        <w:t>e</w:t>
      </w:r>
      <w:r>
        <w:t xml:space="preserve">ment with issues of identity, diversity and citizenship. </w:t>
      </w:r>
    </w:p>
    <w:p w14:paraId="62E5BEE3" w14:textId="1D6FABA6" w:rsidR="00914569" w:rsidRDefault="00914569" w:rsidP="002607BF">
      <w:pPr>
        <w:rPr>
          <w:lang w:eastAsia="ja-JP"/>
        </w:rPr>
      </w:pPr>
      <w:r w:rsidRPr="00305FD1">
        <w:t xml:space="preserve">Citizenship is about political involvement in the affairs of the community, of the </w:t>
      </w:r>
      <w:r w:rsidRPr="00305FD1">
        <w:rPr>
          <w:i/>
        </w:rPr>
        <w:t>city</w:t>
      </w:r>
      <w:r w:rsidRPr="00305FD1">
        <w:t xml:space="preserve">. In France, in the 1950’s, a pedagogical movement </w:t>
      </w:r>
      <w:r>
        <w:t xml:space="preserve">– </w:t>
      </w:r>
      <w:r w:rsidRPr="00305FD1">
        <w:rPr>
          <w:i/>
        </w:rPr>
        <w:t>pédagogie ins</w:t>
      </w:r>
      <w:r>
        <w:rPr>
          <w:i/>
        </w:rPr>
        <w:t>titutionnelle</w:t>
      </w:r>
      <w:r w:rsidRPr="00305FD1">
        <w:rPr>
          <w:i/>
        </w:rPr>
        <w:t xml:space="preserve"> </w:t>
      </w:r>
      <w:r>
        <w:rPr>
          <w:i/>
        </w:rPr>
        <w:t xml:space="preserve">– </w:t>
      </w:r>
      <w:r w:rsidRPr="00305FD1">
        <w:t>e</w:t>
      </w:r>
      <w:r w:rsidRPr="00305FD1">
        <w:t>x</w:t>
      </w:r>
      <w:r w:rsidRPr="00305FD1">
        <w:t>perimented</w:t>
      </w:r>
      <w:r w:rsidRPr="00305FD1">
        <w:rPr>
          <w:i/>
        </w:rPr>
        <w:t xml:space="preserve"> </w:t>
      </w:r>
      <w:r w:rsidRPr="00305FD1">
        <w:t xml:space="preserve">educational practices aimed at giving the learners responsibility </w:t>
      </w:r>
      <w:r>
        <w:t>over</w:t>
      </w:r>
      <w:r w:rsidRPr="00305FD1">
        <w:t xml:space="preserve"> what </w:t>
      </w:r>
      <w:r>
        <w:t>should</w:t>
      </w:r>
      <w:r w:rsidRPr="00305FD1">
        <w:t xml:space="preserve"> </w:t>
      </w:r>
      <w:r>
        <w:t>be studied</w:t>
      </w:r>
      <w:r w:rsidRPr="00305FD1">
        <w:t xml:space="preserve"> and at givi</w:t>
      </w:r>
      <w:r>
        <w:t xml:space="preserve">ng them decisional power over </w:t>
      </w:r>
      <w:r w:rsidRPr="00305FD1">
        <w:t>the (self-managed) school. These initiatives were also characterised by a strong commitment to making sense of the immediate social context – in particular with regard to the dramatic transformation of urban life in 19</w:t>
      </w:r>
      <w:r w:rsidR="00AF1BD9">
        <w:t>50</w:t>
      </w:r>
      <w:r w:rsidR="00F037CC">
        <w:t>s France (Ardoino and Lourau</w:t>
      </w:r>
      <w:r w:rsidRPr="00305FD1">
        <w:t xml:space="preserve"> 1994). In 1989 </w:t>
      </w:r>
      <w:r>
        <w:t xml:space="preserve">Brazil, Freire </w:t>
      </w:r>
      <w:r w:rsidRPr="00305FD1">
        <w:rPr>
          <w:lang w:eastAsia="ja-JP"/>
        </w:rPr>
        <w:t>put into pr</w:t>
      </w:r>
      <w:r>
        <w:rPr>
          <w:lang w:eastAsia="ja-JP"/>
        </w:rPr>
        <w:t>actice his critical pedagogy with the “Citizen Schools” movement, in order to promote the exercise of citizenship among the disadvantaged population, in a participative-democracy perspective</w:t>
      </w:r>
      <w:r w:rsidRPr="00183F30">
        <w:rPr>
          <w:lang w:eastAsia="ja-JP"/>
        </w:rPr>
        <w:t xml:space="preserve"> </w:t>
      </w:r>
      <w:r>
        <w:rPr>
          <w:lang w:eastAsia="ja-JP"/>
        </w:rPr>
        <w:t>(</w:t>
      </w:r>
      <w:r w:rsidRPr="00305FD1">
        <w:rPr>
          <w:lang w:eastAsia="ja-JP"/>
        </w:rPr>
        <w:t>Schugurensky and Madjidi 2008)</w:t>
      </w:r>
      <w:r>
        <w:rPr>
          <w:lang w:eastAsia="ja-JP"/>
        </w:rPr>
        <w:t xml:space="preserve">. </w:t>
      </w:r>
    </w:p>
    <w:p w14:paraId="22D8EA4D" w14:textId="324409A7" w:rsidR="00914569" w:rsidRDefault="00914569" w:rsidP="002607BF">
      <w:pPr>
        <w:rPr>
          <w:lang w:eastAsia="ja-JP"/>
        </w:rPr>
      </w:pPr>
      <w:r>
        <w:rPr>
          <w:lang w:eastAsia="ja-JP"/>
        </w:rPr>
        <w:t>These initiatives have in common to value learners as active participants in bo</w:t>
      </w:r>
      <w:r>
        <w:rPr>
          <w:lang w:eastAsia="ja-JP"/>
        </w:rPr>
        <w:t>t</w:t>
      </w:r>
      <w:r>
        <w:rPr>
          <w:lang w:eastAsia="ja-JP"/>
        </w:rPr>
        <w:t>tom-up democratic processes that have palpable impacts on their everyday social r</w:t>
      </w:r>
      <w:r>
        <w:rPr>
          <w:lang w:eastAsia="ja-JP"/>
        </w:rPr>
        <w:t>e</w:t>
      </w:r>
      <w:r w:rsidR="00AF1BD9">
        <w:rPr>
          <w:lang w:eastAsia="ja-JP"/>
        </w:rPr>
        <w:t xml:space="preserve">ality. Here, </w:t>
      </w:r>
      <w:r>
        <w:rPr>
          <w:lang w:eastAsia="ja-JP"/>
        </w:rPr>
        <w:t>learners are also producers of knowledge. This reconfigures the relations between knowledge, power and subjectivity; knowledge is not just something to be subjected to – children develop research skills by conducting their own inquiries in view of implementing recommendations in self-managed schools (</w:t>
      </w:r>
      <w:r w:rsidRPr="00305FD1">
        <w:rPr>
          <w:lang w:eastAsia="ja-JP"/>
        </w:rPr>
        <w:t>Schugurensky and Madjidi 2008</w:t>
      </w:r>
      <w:r>
        <w:rPr>
          <w:lang w:eastAsia="ja-JP"/>
        </w:rPr>
        <w:t>) thereby actualising citizenship responsibility.</w:t>
      </w:r>
    </w:p>
    <w:p w14:paraId="76A14BA9" w14:textId="7D8C5C6A" w:rsidR="00914569" w:rsidRDefault="00914569" w:rsidP="002607BF">
      <w:pPr>
        <w:rPr>
          <w:lang w:eastAsia="ja-JP"/>
        </w:rPr>
      </w:pPr>
      <w:r>
        <w:t xml:space="preserve">Pupil’s councils and Youth Parliaments, in CEEFS, illustrate one form of student involvement in the social environment. </w:t>
      </w:r>
      <w:r>
        <w:rPr>
          <w:lang w:eastAsia="ja-JP"/>
        </w:rPr>
        <w:t>There is no evidence, however, of a link to pedagogical practices. T</w:t>
      </w:r>
      <w:r w:rsidRPr="00152C4D">
        <w:rPr>
          <w:lang w:eastAsia="ja-JP"/>
        </w:rPr>
        <w:t xml:space="preserve">he UK Youth Parliament is </w:t>
      </w:r>
      <w:r>
        <w:rPr>
          <w:lang w:eastAsia="ja-JP"/>
        </w:rPr>
        <w:t xml:space="preserve">mention as “a forum for elected young people to </w:t>
      </w:r>
      <w:r w:rsidRPr="00975E80">
        <w:rPr>
          <w:i/>
          <w:lang w:eastAsia="ja-JP"/>
        </w:rPr>
        <w:t>meet</w:t>
      </w:r>
      <w:r>
        <w:rPr>
          <w:i/>
          <w:lang w:eastAsia="ja-JP"/>
        </w:rPr>
        <w:t xml:space="preserve"> </w:t>
      </w:r>
      <w:r w:rsidR="00F037CC">
        <w:rPr>
          <w:lang w:eastAsia="ja-JP"/>
        </w:rPr>
        <w:t>” (CEEFS</w:t>
      </w:r>
      <w:r>
        <w:rPr>
          <w:lang w:eastAsia="ja-JP"/>
        </w:rPr>
        <w:t xml:space="preserve"> 2008: 8 – my emphasis). CEEFS reports that all three countries have arrangements for students to have a voice and to participate in decision-making. While these potentially constitute </w:t>
      </w:r>
      <w:r w:rsidR="00AF1BD9">
        <w:rPr>
          <w:lang w:eastAsia="ja-JP"/>
        </w:rPr>
        <w:t>encouraging</w:t>
      </w:r>
      <w:r>
        <w:rPr>
          <w:lang w:eastAsia="ja-JP"/>
        </w:rPr>
        <w:t xml:space="preserve"> initiatives, there is no reference to a learning process by which this voice becomes informed. Furthe</w:t>
      </w:r>
      <w:r>
        <w:rPr>
          <w:lang w:eastAsia="ja-JP"/>
        </w:rPr>
        <w:t>r</w:t>
      </w:r>
      <w:r>
        <w:rPr>
          <w:lang w:eastAsia="ja-JP"/>
        </w:rPr>
        <w:t xml:space="preserve">more, the relevance of these programmes to the concrete, everyday social reality of the students can be questioned as no mention is made of whether this involvement in decision making is consultative or participative, of what these decisions possibly bear on and who takes them into account.  </w:t>
      </w:r>
    </w:p>
    <w:p w14:paraId="24E07B5F" w14:textId="77777777" w:rsidR="00914569" w:rsidRDefault="00914569" w:rsidP="00914569">
      <w:pPr>
        <w:pStyle w:val="Heading1"/>
        <w:rPr>
          <w:lang w:eastAsia="ja-JP"/>
        </w:rPr>
      </w:pPr>
      <w:r>
        <w:rPr>
          <w:lang w:eastAsia="ja-JP"/>
        </w:rPr>
        <w:t>Transnational citizenship</w:t>
      </w:r>
    </w:p>
    <w:p w14:paraId="52E9B16B" w14:textId="0F976BE0" w:rsidR="00914569" w:rsidRDefault="00914569" w:rsidP="002607BF">
      <w:pPr>
        <w:rPr>
          <w:lang w:eastAsia="ja-JP"/>
        </w:rPr>
      </w:pPr>
      <w:r>
        <w:rPr>
          <w:lang w:eastAsia="ja-JP"/>
        </w:rPr>
        <w:t xml:space="preserve">Transnational citizenship “focuses on the local, national </w:t>
      </w:r>
      <w:r w:rsidRPr="00253596">
        <w:rPr>
          <w:i/>
          <w:lang w:eastAsia="ja-JP"/>
        </w:rPr>
        <w:t>and</w:t>
      </w:r>
      <w:r>
        <w:rPr>
          <w:lang w:eastAsia="ja-JP"/>
        </w:rPr>
        <w:t xml:space="preserve"> international co</w:t>
      </w:r>
      <w:r>
        <w:rPr>
          <w:lang w:eastAsia="ja-JP"/>
        </w:rPr>
        <w:t>m</w:t>
      </w:r>
      <w:r w:rsidR="00F037CC">
        <w:rPr>
          <w:lang w:eastAsia="ja-JP"/>
        </w:rPr>
        <w:t>munities” (Abowitz and Harnish</w:t>
      </w:r>
      <w:r>
        <w:rPr>
          <w:lang w:eastAsia="ja-JP"/>
        </w:rPr>
        <w:t xml:space="preserve"> 2006: 675 – emphasis in original). In this discourse, membership is conceived of as more fluid and as transcending national and regional borders. </w:t>
      </w:r>
      <w:r w:rsidR="004261AE">
        <w:rPr>
          <w:lang w:eastAsia="ja-JP"/>
        </w:rPr>
        <w:t>Multiple related concepts</w:t>
      </w:r>
      <w:r>
        <w:rPr>
          <w:lang w:eastAsia="ja-JP"/>
        </w:rPr>
        <w:t xml:space="preserve"> circulate in educational discourses through terms such as “world citizenship”, “cosmopolitan citizenship” or “global citizenship”. </w:t>
      </w:r>
    </w:p>
    <w:p w14:paraId="6A4841C4" w14:textId="76533742" w:rsidR="00914569" w:rsidRDefault="00914569" w:rsidP="004261AE">
      <w:pPr>
        <w:rPr>
          <w:lang w:eastAsia="ja-JP"/>
        </w:rPr>
      </w:pPr>
      <w:r>
        <w:rPr>
          <w:lang w:eastAsia="ja-JP"/>
        </w:rPr>
        <w:t>Global citizenship is a term that has gained considerable salience in recent educ</w:t>
      </w:r>
      <w:r>
        <w:rPr>
          <w:lang w:eastAsia="ja-JP"/>
        </w:rPr>
        <w:t>a</w:t>
      </w:r>
      <w:r w:rsidR="00F037CC">
        <w:rPr>
          <w:lang w:eastAsia="ja-JP"/>
        </w:rPr>
        <w:t>tional policies (Bourn</w:t>
      </w:r>
      <w:r>
        <w:rPr>
          <w:lang w:eastAsia="ja-JP"/>
        </w:rPr>
        <w:t xml:space="preserve"> 2015); it is, however,</w:t>
      </w:r>
      <w:r w:rsidR="00F037CC">
        <w:rPr>
          <w:lang w:eastAsia="ja-JP"/>
        </w:rPr>
        <w:t xml:space="preserve"> a “floating signifier” (Moraes</w:t>
      </w:r>
      <w:r>
        <w:rPr>
          <w:lang w:eastAsia="ja-JP"/>
        </w:rPr>
        <w:t xml:space="preserve"> 2014) t</w:t>
      </w:r>
      <w:r>
        <w:rPr>
          <w:lang w:eastAsia="ja-JP"/>
        </w:rPr>
        <w:t>o</w:t>
      </w:r>
      <w:r>
        <w:rPr>
          <w:lang w:eastAsia="ja-JP"/>
        </w:rPr>
        <w:t>wards which converge various, and sometimes competing, agendas and discourses. While Dower (2003), for example, adopts a moral stance and calls for a version of global citizenship based on the ethical obligation of the privileged to redress inju</w:t>
      </w:r>
      <w:r>
        <w:rPr>
          <w:lang w:eastAsia="ja-JP"/>
        </w:rPr>
        <w:t>s</w:t>
      </w:r>
      <w:r>
        <w:rPr>
          <w:lang w:eastAsia="ja-JP"/>
        </w:rPr>
        <w:t>tice in the world, authors inspired by postcolonialism contest the universalist chara</w:t>
      </w:r>
      <w:r>
        <w:rPr>
          <w:lang w:eastAsia="ja-JP"/>
        </w:rPr>
        <w:t>c</w:t>
      </w:r>
      <w:r>
        <w:rPr>
          <w:lang w:eastAsia="ja-JP"/>
        </w:rPr>
        <w:t>ter of such a position which potentially justifies paternalist attitudes of the ‘North’ towards the ‘South’ (</w:t>
      </w:r>
      <w:r w:rsidRPr="00C15415">
        <w:rPr>
          <w:i/>
          <w:lang w:eastAsia="ja-JP"/>
        </w:rPr>
        <w:t>Cf.</w:t>
      </w:r>
      <w:r w:rsidR="00F037CC">
        <w:rPr>
          <w:lang w:eastAsia="ja-JP"/>
        </w:rPr>
        <w:t xml:space="preserve"> Wright 2012, Andreotti</w:t>
      </w:r>
      <w:r>
        <w:rPr>
          <w:lang w:eastAsia="ja-JP"/>
        </w:rPr>
        <w:t xml:space="preserve"> 2006). The notion of global citize</w:t>
      </w:r>
      <w:r>
        <w:rPr>
          <w:lang w:eastAsia="ja-JP"/>
        </w:rPr>
        <w:t>n</w:t>
      </w:r>
      <w:r>
        <w:rPr>
          <w:lang w:eastAsia="ja-JP"/>
        </w:rPr>
        <w:t>ship can be used in a critical education context and address inequality and exclusion, or be subsumed in a hegemonic neo-liberal discourse of international elitism, both in the ‘developed’ and in the ‘developing world’ (</w:t>
      </w:r>
      <w:r>
        <w:rPr>
          <w:i/>
          <w:lang w:eastAsia="ja-JP"/>
        </w:rPr>
        <w:t xml:space="preserve">Cf. </w:t>
      </w:r>
      <w:r w:rsidR="00F037CC">
        <w:rPr>
          <w:lang w:eastAsia="ja-JP"/>
        </w:rPr>
        <w:t>Gardner-Mc Taggart</w:t>
      </w:r>
      <w:r>
        <w:rPr>
          <w:lang w:eastAsia="ja-JP"/>
        </w:rPr>
        <w:t xml:space="preserve"> </w:t>
      </w:r>
      <w:r w:rsidR="00F037CC">
        <w:rPr>
          <w:lang w:eastAsia="ja-JP"/>
        </w:rPr>
        <w:t>2014, Tam</w:t>
      </w:r>
      <w:r w:rsidR="00F037CC">
        <w:rPr>
          <w:lang w:eastAsia="ja-JP"/>
        </w:rPr>
        <w:t>a</w:t>
      </w:r>
      <w:r w:rsidR="00F037CC">
        <w:rPr>
          <w:lang w:eastAsia="ja-JP"/>
        </w:rPr>
        <w:t>tea, Hardy and Ninnes 2008, Allan and Charles</w:t>
      </w:r>
      <w:r>
        <w:rPr>
          <w:lang w:eastAsia="ja-JP"/>
        </w:rPr>
        <w:t xml:space="preserve"> 2015).  It is advocated by some, for example Cl</w:t>
      </w:r>
      <w:r w:rsidR="004261AE">
        <w:rPr>
          <w:lang w:eastAsia="ja-JP"/>
        </w:rPr>
        <w:t>ark (2010: 3), to ward off the “</w:t>
      </w:r>
      <w:r>
        <w:rPr>
          <w:lang w:eastAsia="ja-JP"/>
        </w:rPr>
        <w:t>pathology of nationalism”, while others consider cosmopolitanism a threat to the integrity of the nation-state a</w:t>
      </w:r>
      <w:r w:rsidR="00F037CC">
        <w:rPr>
          <w:lang w:eastAsia="ja-JP"/>
        </w:rPr>
        <w:t>nd a lack of patriotism (Turner 2002, Rizvy</w:t>
      </w:r>
      <w:r>
        <w:rPr>
          <w:lang w:eastAsia="ja-JP"/>
        </w:rPr>
        <w:t xml:space="preserve"> 2005). Parekh (2003: 11) contests the validity of the concept of global citizenship in the absence of a world government and calls for a “globally oriented national citizen” while Killick (2011: 79) argues that the </w:t>
      </w:r>
      <w:r>
        <w:t>deterrit</w:t>
      </w:r>
      <w:r>
        <w:t>o</w:t>
      </w:r>
      <w:r>
        <w:t>riali</w:t>
      </w:r>
      <w:r w:rsidR="00251AB6">
        <w:t>sation of capital, means of production and labour</w:t>
      </w:r>
      <w:r>
        <w:t xml:space="preserve"> results </w:t>
      </w:r>
      <w:r w:rsidR="00251AB6">
        <w:t xml:space="preserve">in nation-states being less </w:t>
      </w:r>
      <w:r>
        <w:t xml:space="preserve">capable of guaranteeing </w:t>
      </w:r>
      <w:r w:rsidR="00251AB6">
        <w:t xml:space="preserve">rights to </w:t>
      </w:r>
      <w:r>
        <w:t>their citizens</w:t>
      </w:r>
      <w:r w:rsidR="00251AB6">
        <w:t xml:space="preserve"> who</w:t>
      </w:r>
      <w:r>
        <w:t xml:space="preserve"> should therefore “embrace” the possibility global citizenship represents to reclaim “individual agency among the turbulence”. </w:t>
      </w:r>
      <w:r w:rsidR="004261AE">
        <w:rPr>
          <w:lang w:eastAsia="ja-JP"/>
        </w:rPr>
        <w:t>Global citizenship also refers to the capacity to make change happen globally, and to take part in transnational organisations that unite social forces b</w:t>
      </w:r>
      <w:r w:rsidR="004261AE">
        <w:rPr>
          <w:lang w:eastAsia="ja-JP"/>
        </w:rPr>
        <w:t>e</w:t>
      </w:r>
      <w:r w:rsidR="004261AE">
        <w:rPr>
          <w:lang w:eastAsia="ja-JP"/>
        </w:rPr>
        <w:t>yond nation-states, in order to address issues associated to Human Rights, structural inequalities, development and the environment. The relative erosion of nation-states combined with the rise of transnational-corporation power call for a form of civil engagement from a global citizenry – a counter-hegemonic global civil society (Sa</w:t>
      </w:r>
      <w:r w:rsidR="004261AE">
        <w:rPr>
          <w:lang w:eastAsia="ja-JP"/>
        </w:rPr>
        <w:t>n</w:t>
      </w:r>
      <w:r w:rsidR="004261AE">
        <w:rPr>
          <w:lang w:eastAsia="ja-JP"/>
        </w:rPr>
        <w:t>tos 2002), grounded in social rights, to challenge the hegemony of the “liberal E</w:t>
      </w:r>
      <w:r w:rsidR="004261AE">
        <w:rPr>
          <w:lang w:eastAsia="ja-JP"/>
        </w:rPr>
        <w:t>m</w:t>
      </w:r>
      <w:r w:rsidR="004261AE">
        <w:rPr>
          <w:lang w:eastAsia="ja-JP"/>
        </w:rPr>
        <w:t xml:space="preserve">pire” (Arneil 2007). </w:t>
      </w:r>
      <w:r>
        <w:rPr>
          <w:lang w:eastAsia="ja-JP"/>
        </w:rPr>
        <w:t xml:space="preserve">Oxley and Morris (2013) </w:t>
      </w:r>
      <w:r w:rsidR="008F7A7F">
        <w:rPr>
          <w:lang w:eastAsia="ja-JP"/>
        </w:rPr>
        <w:t>conclude</w:t>
      </w:r>
      <w:r>
        <w:rPr>
          <w:lang w:eastAsia="ja-JP"/>
        </w:rPr>
        <w:t xml:space="preserve"> that despite the dissensions, global citizenship, as a category affecting representations of citizenship, deserves fu</w:t>
      </w:r>
      <w:r>
        <w:rPr>
          <w:lang w:eastAsia="ja-JP"/>
        </w:rPr>
        <w:t>r</w:t>
      </w:r>
      <w:r>
        <w:rPr>
          <w:lang w:eastAsia="ja-JP"/>
        </w:rPr>
        <w:t>ther analysis.</w:t>
      </w:r>
    </w:p>
    <w:p w14:paraId="69424B52" w14:textId="5D5FE98A" w:rsidR="00591FF8" w:rsidRDefault="004261AE" w:rsidP="002607BF">
      <w:pPr>
        <w:rPr>
          <w:lang w:eastAsia="ja-JP"/>
        </w:rPr>
      </w:pPr>
      <w:r>
        <w:rPr>
          <w:lang w:eastAsia="ja-JP"/>
        </w:rPr>
        <w:t xml:space="preserve">Globalmindedness can be regarded as the mindset of the global citizen. </w:t>
      </w:r>
      <w:r w:rsidR="00F64155">
        <w:rPr>
          <w:lang w:eastAsia="ja-JP"/>
        </w:rPr>
        <w:t>S</w:t>
      </w:r>
      <w:r w:rsidR="00914569">
        <w:rPr>
          <w:lang w:eastAsia="ja-JP"/>
        </w:rPr>
        <w:t>ocial and cultural transformations call for reflection upo</w:t>
      </w:r>
      <w:r w:rsidR="00591FF8">
        <w:rPr>
          <w:lang w:eastAsia="ja-JP"/>
        </w:rPr>
        <w:t>n issues of identity, belonging</w:t>
      </w:r>
      <w:r>
        <w:rPr>
          <w:lang w:eastAsia="ja-JP"/>
        </w:rPr>
        <w:t>, i</w:t>
      </w:r>
      <w:r>
        <w:rPr>
          <w:lang w:eastAsia="ja-JP"/>
        </w:rPr>
        <w:t>n</w:t>
      </w:r>
      <w:r>
        <w:rPr>
          <w:lang w:eastAsia="ja-JP"/>
        </w:rPr>
        <w:t>terdependence,</w:t>
      </w:r>
      <w:r w:rsidR="00914569">
        <w:rPr>
          <w:lang w:eastAsia="ja-JP"/>
        </w:rPr>
        <w:t xml:space="preserve"> and</w:t>
      </w:r>
      <w:r w:rsidR="00591FF8">
        <w:rPr>
          <w:lang w:eastAsia="ja-JP"/>
        </w:rPr>
        <w:t xml:space="preserve"> attitudes towards diversity</w:t>
      </w:r>
      <w:r w:rsidR="00914569">
        <w:rPr>
          <w:lang w:eastAsia="ja-JP"/>
        </w:rPr>
        <w:t>, irrespective of debates over global governance.</w:t>
      </w:r>
      <w:r>
        <w:rPr>
          <w:lang w:eastAsia="ja-JP"/>
        </w:rPr>
        <w:t xml:space="preserve"> The global citizen has </w:t>
      </w:r>
      <w:r w:rsidR="00914569">
        <w:rPr>
          <w:lang w:eastAsia="ja-JP"/>
        </w:rPr>
        <w:t xml:space="preserve">the capacity to </w:t>
      </w:r>
      <w:r w:rsidR="00591FF8">
        <w:rPr>
          <w:lang w:eastAsia="ja-JP"/>
        </w:rPr>
        <w:t>recognise</w:t>
      </w:r>
      <w:r w:rsidR="00914569">
        <w:rPr>
          <w:lang w:eastAsia="ja-JP"/>
        </w:rPr>
        <w:t xml:space="preserve"> that values and worldviews are socially and hist</w:t>
      </w:r>
      <w:r w:rsidR="00F037CC">
        <w:rPr>
          <w:lang w:eastAsia="ja-JP"/>
        </w:rPr>
        <w:t xml:space="preserve">orically constructed (Andreotti </w:t>
      </w:r>
      <w:r w:rsidR="00914569">
        <w:rPr>
          <w:lang w:eastAsia="ja-JP"/>
        </w:rPr>
        <w:t>2011) and therefore challengea</w:t>
      </w:r>
      <w:r w:rsidR="00C814C0">
        <w:rPr>
          <w:lang w:eastAsia="ja-JP"/>
        </w:rPr>
        <w:t xml:space="preserve">ble and </w:t>
      </w:r>
      <w:r w:rsidR="00591FF8">
        <w:rPr>
          <w:lang w:eastAsia="ja-JP"/>
        </w:rPr>
        <w:t xml:space="preserve">the capacity to respond positively to this challenge while </w:t>
      </w:r>
      <w:r w:rsidR="002F3A9A">
        <w:rPr>
          <w:lang w:eastAsia="ja-JP"/>
        </w:rPr>
        <w:t>we are increasingly exposed</w:t>
      </w:r>
      <w:r w:rsidR="00C814C0">
        <w:rPr>
          <w:lang w:eastAsia="ja-JP"/>
        </w:rPr>
        <w:t xml:space="preserve"> to cultural diversity.</w:t>
      </w:r>
      <w:r w:rsidR="00591FF8">
        <w:rPr>
          <w:lang w:eastAsia="ja-JP"/>
        </w:rPr>
        <w:t xml:space="preserve"> </w:t>
      </w:r>
      <w:r>
        <w:rPr>
          <w:lang w:eastAsia="ja-JP"/>
        </w:rPr>
        <w:t xml:space="preserve">She </w:t>
      </w:r>
      <w:r w:rsidR="00C814C0">
        <w:rPr>
          <w:lang w:eastAsia="ja-JP"/>
        </w:rPr>
        <w:t xml:space="preserve">is also </w:t>
      </w:r>
      <w:r w:rsidR="00914569">
        <w:rPr>
          <w:lang w:eastAsia="ja-JP"/>
        </w:rPr>
        <w:t xml:space="preserve">aware of the systemic relations between local and global conditions in an </w:t>
      </w:r>
      <w:r w:rsidR="00C814C0">
        <w:rPr>
          <w:lang w:eastAsia="ja-JP"/>
        </w:rPr>
        <w:t>ever-more</w:t>
      </w:r>
      <w:r w:rsidR="00914569">
        <w:rPr>
          <w:lang w:eastAsia="ja-JP"/>
        </w:rPr>
        <w:t xml:space="preserve"> integrated world. Globalmin</w:t>
      </w:r>
      <w:r w:rsidR="00914569">
        <w:rPr>
          <w:lang w:eastAsia="ja-JP"/>
        </w:rPr>
        <w:t>d</w:t>
      </w:r>
      <w:r w:rsidR="00914569">
        <w:rPr>
          <w:lang w:eastAsia="ja-JP"/>
        </w:rPr>
        <w:t xml:space="preserve">edness is an attribute of contemporary citizenship insofar as citizens, in order to shape polity, need to act on the basis of these conditions. </w:t>
      </w:r>
    </w:p>
    <w:p w14:paraId="0ACF106D" w14:textId="412D6D5A" w:rsidR="00914569" w:rsidRDefault="00914569" w:rsidP="002607BF">
      <w:pPr>
        <w:rPr>
          <w:lang w:eastAsia="ja-JP"/>
        </w:rPr>
      </w:pPr>
      <w:r>
        <w:rPr>
          <w:lang w:eastAsia="ja-JP"/>
        </w:rPr>
        <w:t>A transnational discourse on citizenship education in</w:t>
      </w:r>
      <w:r w:rsidRPr="002E0BDF">
        <w:rPr>
          <w:lang w:eastAsia="ja-JP"/>
        </w:rPr>
        <w:t xml:space="preserve"> </w:t>
      </w:r>
      <w:r>
        <w:rPr>
          <w:lang w:eastAsia="ja-JP"/>
        </w:rPr>
        <w:t>CEEFS would be expected to address both European citizenship and global citizenship. The importance of the relationship between local and global phenomena is acknowledged: students must take “</w:t>
      </w:r>
      <w:r w:rsidRPr="00DA1FE0">
        <w:rPr>
          <w:lang w:eastAsia="ja-JP"/>
        </w:rPr>
        <w:t>thoughtful and responsible action, locally and globally</w:t>
      </w:r>
      <w:r>
        <w:rPr>
          <w:lang w:eastAsia="ja-JP"/>
        </w:rPr>
        <w:t>” be aware of “the worl</w:t>
      </w:r>
      <w:r w:rsidR="00F037CC">
        <w:rPr>
          <w:lang w:eastAsia="ja-JP"/>
        </w:rPr>
        <w:t>d as a global community” (CEEFS</w:t>
      </w:r>
      <w:r>
        <w:rPr>
          <w:lang w:eastAsia="ja-JP"/>
        </w:rPr>
        <w:t xml:space="preserve"> 2008: 4), and take part  “in the life of their schools, neighbourhoods, communities and th</w:t>
      </w:r>
      <w:r w:rsidR="00F037CC">
        <w:rPr>
          <w:lang w:eastAsia="ja-JP"/>
        </w:rPr>
        <w:t>e wider world” (CEEFS</w:t>
      </w:r>
      <w:r>
        <w:rPr>
          <w:lang w:eastAsia="ja-JP"/>
        </w:rPr>
        <w:t xml:space="preserve"> 2008: 3). However, these are the only three occurrences of such considerations. The following sections of the report do not demonstrate the existence of educational arrangements for the acquisition of associated skills or mindset, and focus only on national considerations. The global dimension, despite increasing presence in the Scottish and English n</w:t>
      </w:r>
      <w:r>
        <w:rPr>
          <w:lang w:eastAsia="ja-JP"/>
        </w:rPr>
        <w:t>a</w:t>
      </w:r>
      <w:r>
        <w:rPr>
          <w:lang w:eastAsia="ja-JP"/>
        </w:rPr>
        <w:t>tional curricula – while in France, although ‘world citizenship’ is proposed by NGOs as an educational tool, the Ministry of education has not endorsed it (</w:t>
      </w:r>
      <w:r w:rsidR="00F037CC">
        <w:t>Sierra et al</w:t>
      </w:r>
      <w:r>
        <w:t xml:space="preserve"> 2012) – </w:t>
      </w:r>
      <w:r>
        <w:rPr>
          <w:lang w:eastAsia="ja-JP"/>
        </w:rPr>
        <w:t>appears in the version of citizenship offered by CEEFS, as an optional a</w:t>
      </w:r>
      <w:r>
        <w:rPr>
          <w:lang w:eastAsia="ja-JP"/>
        </w:rPr>
        <w:t>t</w:t>
      </w:r>
      <w:r>
        <w:rPr>
          <w:lang w:eastAsia="ja-JP"/>
        </w:rPr>
        <w:t>tribute, as an add-on to a national basis, when it can confidently be argued to be a necessary core competence in the 21</w:t>
      </w:r>
      <w:r w:rsidRPr="000C4627">
        <w:rPr>
          <w:vertAlign w:val="superscript"/>
          <w:lang w:eastAsia="ja-JP"/>
        </w:rPr>
        <w:t>st</w:t>
      </w:r>
      <w:r>
        <w:rPr>
          <w:lang w:eastAsia="ja-JP"/>
        </w:rPr>
        <w:t xml:space="preserve"> century. </w:t>
      </w:r>
    </w:p>
    <w:p w14:paraId="44B5DB2C" w14:textId="4C775EB0" w:rsidR="00914569" w:rsidRDefault="00914569" w:rsidP="002607BF">
      <w:pPr>
        <w:rPr>
          <w:lang w:eastAsia="ja-JP"/>
        </w:rPr>
      </w:pPr>
      <w:r>
        <w:rPr>
          <w:lang w:eastAsia="ja-JP"/>
        </w:rPr>
        <w:t>As for the European dimension, the question seems to have been avoided alt</w:t>
      </w:r>
      <w:r>
        <w:rPr>
          <w:lang w:eastAsia="ja-JP"/>
        </w:rPr>
        <w:t>o</w:t>
      </w:r>
      <w:r>
        <w:rPr>
          <w:lang w:eastAsia="ja-JP"/>
        </w:rPr>
        <w:t>gether despit</w:t>
      </w:r>
      <w:r w:rsidR="009532F0">
        <w:rPr>
          <w:lang w:eastAsia="ja-JP"/>
        </w:rPr>
        <w:t>e the introductory claim</w:t>
      </w:r>
      <w:r>
        <w:rPr>
          <w:lang w:eastAsia="ja-JP"/>
        </w:rPr>
        <w:t xml:space="preserve"> to contribute to the construction of European citizenship. The report was not commissioned by an EU authority and CEEFS could certainly not speak for 28 states; however, the confused government agendas and competing claims over what the </w:t>
      </w:r>
      <w:r w:rsidR="00F037CC">
        <w:rPr>
          <w:lang w:eastAsia="ja-JP"/>
        </w:rPr>
        <w:t>concept may even mean (Marshall</w:t>
      </w:r>
      <w:r>
        <w:rPr>
          <w:lang w:eastAsia="ja-JP"/>
        </w:rPr>
        <w:t xml:space="preserve"> 2009) might have been a reason for not addressing the issue. The question of multiple loyalties (dual-citizenship, extra-European heritage, EU integration), increasingly pertinent in our Europe</w:t>
      </w:r>
      <w:r w:rsidR="00F037CC">
        <w:rPr>
          <w:lang w:eastAsia="ja-JP"/>
        </w:rPr>
        <w:t>an societies (Osler and Starkey</w:t>
      </w:r>
      <w:r>
        <w:rPr>
          <w:lang w:eastAsia="ja-JP"/>
        </w:rPr>
        <w:t xml:space="preserve"> 2010), disappears behind “a citizen that becomes aware o</w:t>
      </w:r>
      <w:r w:rsidR="00F037CC">
        <w:rPr>
          <w:lang w:eastAsia="ja-JP"/>
        </w:rPr>
        <w:t>f belonging to a nation” (CEEFS</w:t>
      </w:r>
      <w:r>
        <w:rPr>
          <w:lang w:eastAsia="ja-JP"/>
        </w:rPr>
        <w:t xml:space="preserve"> 2008: 4).</w:t>
      </w:r>
    </w:p>
    <w:p w14:paraId="79FEA2E4" w14:textId="77777777" w:rsidR="000208B6" w:rsidRDefault="00914569" w:rsidP="008E6A17">
      <w:pPr>
        <w:rPr>
          <w:lang w:eastAsia="ja-JP"/>
        </w:rPr>
      </w:pPr>
      <w:r>
        <w:rPr>
          <w:lang w:eastAsia="ja-JP"/>
        </w:rPr>
        <w:t xml:space="preserve">From this analysis it appears clearly that CEEFS conceives of citizenship as </w:t>
      </w:r>
      <w:r w:rsidR="009532F0">
        <w:rPr>
          <w:lang w:eastAsia="ja-JP"/>
        </w:rPr>
        <w:t xml:space="preserve">a </w:t>
      </w:r>
      <w:r>
        <w:rPr>
          <w:lang w:eastAsia="ja-JP"/>
        </w:rPr>
        <w:t xml:space="preserve">fixed </w:t>
      </w:r>
      <w:r w:rsidR="009532F0">
        <w:rPr>
          <w:lang w:eastAsia="ja-JP"/>
        </w:rPr>
        <w:t xml:space="preserve">concept disconnected from </w:t>
      </w:r>
      <w:r>
        <w:rPr>
          <w:lang w:eastAsia="ja-JP"/>
        </w:rPr>
        <w:t>historical social stru</w:t>
      </w:r>
      <w:r w:rsidR="009532F0">
        <w:rPr>
          <w:lang w:eastAsia="ja-JP"/>
        </w:rPr>
        <w:t>ggle</w:t>
      </w:r>
      <w:r>
        <w:rPr>
          <w:lang w:eastAsia="ja-JP"/>
        </w:rPr>
        <w:t>. Political rights rooted in liberalism eclipse other formulations such as social or economic rights.</w:t>
      </w:r>
      <w:r w:rsidR="008E6A17">
        <w:rPr>
          <w:lang w:eastAsia="ja-JP"/>
        </w:rPr>
        <w:t xml:space="preserve"> This dis</w:t>
      </w:r>
      <w:r w:rsidR="008E6A17">
        <w:rPr>
          <w:lang w:eastAsia="ja-JP"/>
        </w:rPr>
        <w:t>a</w:t>
      </w:r>
      <w:r w:rsidR="008E6A17">
        <w:rPr>
          <w:lang w:eastAsia="ja-JP"/>
        </w:rPr>
        <w:t>vowal of citizenship as a complex and problematic concept so intimately linked to issues of power questions. Furthermore, c</w:t>
      </w:r>
      <w:r>
        <w:rPr>
          <w:lang w:eastAsia="ja-JP"/>
        </w:rPr>
        <w:t xml:space="preserve">itizenship is </w:t>
      </w:r>
      <w:r w:rsidR="000208B6">
        <w:rPr>
          <w:lang w:eastAsia="ja-JP"/>
        </w:rPr>
        <w:t xml:space="preserve">definitely </w:t>
      </w:r>
      <w:r>
        <w:rPr>
          <w:lang w:eastAsia="ja-JP"/>
        </w:rPr>
        <w:t xml:space="preserve">not conceived of as extending beyond the immediate political space. </w:t>
      </w:r>
    </w:p>
    <w:p w14:paraId="0FA5FBF5" w14:textId="2BC0C108" w:rsidR="00914569" w:rsidRDefault="00914569" w:rsidP="008E6A17">
      <w:pPr>
        <w:rPr>
          <w:lang w:eastAsia="ja-JP"/>
        </w:rPr>
      </w:pPr>
      <w:r>
        <w:rPr>
          <w:lang w:eastAsia="ja-JP"/>
        </w:rPr>
        <w:t>The following section considers citizenship education in terms of the skills nee</w:t>
      </w:r>
      <w:r>
        <w:rPr>
          <w:lang w:eastAsia="ja-JP"/>
        </w:rPr>
        <w:t>d</w:t>
      </w:r>
      <w:r>
        <w:rPr>
          <w:lang w:eastAsia="ja-JP"/>
        </w:rPr>
        <w:t>ed to exercise competent citizenship in the 21</w:t>
      </w:r>
      <w:r w:rsidRPr="00883627">
        <w:rPr>
          <w:vertAlign w:val="superscript"/>
          <w:lang w:eastAsia="ja-JP"/>
        </w:rPr>
        <w:t>st</w:t>
      </w:r>
      <w:r>
        <w:rPr>
          <w:lang w:eastAsia="ja-JP"/>
        </w:rPr>
        <w:t xml:space="preserve"> century. </w:t>
      </w:r>
    </w:p>
    <w:p w14:paraId="6DBF98BA" w14:textId="77777777" w:rsidR="00914569" w:rsidRDefault="00914569" w:rsidP="00914569">
      <w:pPr>
        <w:pStyle w:val="Heading1"/>
        <w:rPr>
          <w:lang w:eastAsia="ja-JP"/>
        </w:rPr>
      </w:pPr>
      <w:r>
        <w:rPr>
          <w:lang w:eastAsia="ja-JP"/>
        </w:rPr>
        <w:t>Skills for the 21</w:t>
      </w:r>
      <w:r w:rsidRPr="005127F0">
        <w:rPr>
          <w:vertAlign w:val="superscript"/>
          <w:lang w:eastAsia="ja-JP"/>
        </w:rPr>
        <w:t>st</w:t>
      </w:r>
      <w:r>
        <w:rPr>
          <w:lang w:eastAsia="ja-JP"/>
        </w:rPr>
        <w:t xml:space="preserve"> century</w:t>
      </w:r>
    </w:p>
    <w:p w14:paraId="6A5316A5" w14:textId="1E64F2B6" w:rsidR="00914569" w:rsidRDefault="00914569" w:rsidP="002607BF">
      <w:pPr>
        <w:rPr>
          <w:lang w:eastAsia="ja-JP"/>
        </w:rPr>
      </w:pPr>
      <w:r>
        <w:rPr>
          <w:lang w:eastAsia="ja-JP"/>
        </w:rPr>
        <w:t xml:space="preserve">The concept of skill has gained </w:t>
      </w:r>
      <w:r w:rsidR="000208B6">
        <w:rPr>
          <w:lang w:eastAsia="ja-JP"/>
        </w:rPr>
        <w:t>importance</w:t>
      </w:r>
      <w:r>
        <w:rPr>
          <w:lang w:eastAsia="ja-JP"/>
        </w:rPr>
        <w:t xml:space="preserve"> in educational discourses since the 1970s. It has helped educators conceptualise learning outcomes that can be tran</w:t>
      </w:r>
      <w:r>
        <w:rPr>
          <w:lang w:eastAsia="ja-JP"/>
        </w:rPr>
        <w:t>s</w:t>
      </w:r>
      <w:r>
        <w:rPr>
          <w:lang w:eastAsia="ja-JP"/>
        </w:rPr>
        <w:t>ferred from school to real life situations, to ensure that school does not merely pr</w:t>
      </w:r>
      <w:r>
        <w:rPr>
          <w:lang w:eastAsia="ja-JP"/>
        </w:rPr>
        <w:t>e</w:t>
      </w:r>
      <w:r w:rsidR="00F037CC">
        <w:rPr>
          <w:lang w:eastAsia="ja-JP"/>
        </w:rPr>
        <w:t>pare for school life (Perrenoux</w:t>
      </w:r>
      <w:r>
        <w:rPr>
          <w:lang w:eastAsia="ja-JP"/>
        </w:rPr>
        <w:t xml:space="preserve"> 1995). The skills strategy is also an approach to ed</w:t>
      </w:r>
      <w:r>
        <w:rPr>
          <w:lang w:eastAsia="ja-JP"/>
        </w:rPr>
        <w:t>u</w:t>
      </w:r>
      <w:r>
        <w:rPr>
          <w:lang w:eastAsia="ja-JP"/>
        </w:rPr>
        <w:t xml:space="preserve">cation that has widened the scope of what </w:t>
      </w:r>
      <w:r>
        <w:rPr>
          <w:i/>
          <w:lang w:eastAsia="ja-JP"/>
        </w:rPr>
        <w:t>can</w:t>
      </w:r>
      <w:r>
        <w:rPr>
          <w:lang w:eastAsia="ja-JP"/>
        </w:rPr>
        <w:t xml:space="preserve"> be taught and has combated the idea that success is attributa</w:t>
      </w:r>
      <w:r w:rsidR="00F037CC">
        <w:rPr>
          <w:lang w:eastAsia="ja-JP"/>
        </w:rPr>
        <w:t>ble to individual gift (Mérieux</w:t>
      </w:r>
      <w:r>
        <w:rPr>
          <w:lang w:eastAsia="ja-JP"/>
        </w:rPr>
        <w:t xml:space="preserve"> 2013). While it does not e</w:t>
      </w:r>
      <w:r>
        <w:rPr>
          <w:lang w:eastAsia="ja-JP"/>
        </w:rPr>
        <w:t>x</w:t>
      </w:r>
      <w:r>
        <w:rPr>
          <w:lang w:eastAsia="ja-JP"/>
        </w:rPr>
        <w:t>haust the factors responsible for the succe</w:t>
      </w:r>
      <w:r w:rsidR="00F037CC">
        <w:rPr>
          <w:lang w:eastAsia="ja-JP"/>
        </w:rPr>
        <w:t>ss of human activities (Mérieux 2013,</w:t>
      </w:r>
      <w:r>
        <w:rPr>
          <w:i/>
          <w:lang w:eastAsia="ja-JP"/>
        </w:rPr>
        <w:t xml:space="preserve"> </w:t>
      </w:r>
      <w:r w:rsidR="00F037CC">
        <w:rPr>
          <w:lang w:eastAsia="ja-JP"/>
        </w:rPr>
        <w:t>Hart</w:t>
      </w:r>
      <w:r w:rsidR="000208B6">
        <w:rPr>
          <w:lang w:eastAsia="ja-JP"/>
        </w:rPr>
        <w:t xml:space="preserve"> 1978), and is criticised and accused of</w:t>
      </w:r>
      <w:r>
        <w:rPr>
          <w:lang w:eastAsia="ja-JP"/>
        </w:rPr>
        <w:t xml:space="preserve"> neglecting knowledge in favour of i</w:t>
      </w:r>
      <w:r w:rsidR="00F037CC">
        <w:rPr>
          <w:lang w:eastAsia="ja-JP"/>
        </w:rPr>
        <w:t>nstrume</w:t>
      </w:r>
      <w:r w:rsidR="00F037CC">
        <w:rPr>
          <w:lang w:eastAsia="ja-JP"/>
        </w:rPr>
        <w:t>n</w:t>
      </w:r>
      <w:r w:rsidR="00F037CC">
        <w:rPr>
          <w:lang w:eastAsia="ja-JP"/>
        </w:rPr>
        <w:t>tal know-how (Perrenoux</w:t>
      </w:r>
      <w:r>
        <w:rPr>
          <w:lang w:eastAsia="ja-JP"/>
        </w:rPr>
        <w:t xml:space="preserve"> 1995</w:t>
      </w:r>
      <w:r>
        <w:rPr>
          <w:i/>
          <w:lang w:eastAsia="ja-JP"/>
        </w:rPr>
        <w:t>)</w:t>
      </w:r>
      <w:r>
        <w:rPr>
          <w:lang w:eastAsia="ja-JP"/>
        </w:rPr>
        <w:t>, a broad understanding of the term encompassing “</w:t>
      </w:r>
      <w:r w:rsidRPr="00145D6A">
        <w:rPr>
          <w:lang w:eastAsia="ja-JP"/>
        </w:rPr>
        <w:t>questions of knowledge, understanding, values and personal experience</w:t>
      </w:r>
      <w:r w:rsidR="00F037CC">
        <w:rPr>
          <w:lang w:eastAsia="ja-JP"/>
        </w:rPr>
        <w:t>” (Bourn</w:t>
      </w:r>
      <w:r>
        <w:rPr>
          <w:lang w:eastAsia="ja-JP"/>
        </w:rPr>
        <w:t xml:space="preserve"> 2008: 7), is nonetheless a valuable tool to </w:t>
      </w:r>
      <w:r w:rsidR="000208B6">
        <w:rPr>
          <w:lang w:eastAsia="ja-JP"/>
        </w:rPr>
        <w:t>consider</w:t>
      </w:r>
      <w:r>
        <w:rPr>
          <w:lang w:eastAsia="ja-JP"/>
        </w:rPr>
        <w:t xml:space="preserve"> renewed purposes for education in a changing world.</w:t>
      </w:r>
    </w:p>
    <w:p w14:paraId="1098BA8B" w14:textId="43E3C8D9" w:rsidR="00914569" w:rsidRDefault="00914569" w:rsidP="002607BF">
      <w:pPr>
        <w:rPr>
          <w:lang w:eastAsia="ja-JP"/>
        </w:rPr>
      </w:pPr>
      <w:r>
        <w:rPr>
          <w:lang w:eastAsia="ja-JP"/>
        </w:rPr>
        <w:t>The idea that the skills needed to thrive in the 21</w:t>
      </w:r>
      <w:r w:rsidRPr="00CB6662">
        <w:rPr>
          <w:vertAlign w:val="superscript"/>
          <w:lang w:eastAsia="ja-JP"/>
        </w:rPr>
        <w:t>st</w:t>
      </w:r>
      <w:r>
        <w:rPr>
          <w:lang w:eastAsia="ja-JP"/>
        </w:rPr>
        <w:t xml:space="preserve"> century might be quite diffe</w:t>
      </w:r>
      <w:r>
        <w:rPr>
          <w:lang w:eastAsia="ja-JP"/>
        </w:rPr>
        <w:t>r</w:t>
      </w:r>
      <w:r>
        <w:rPr>
          <w:lang w:eastAsia="ja-JP"/>
        </w:rPr>
        <w:t>ent from those needed in the 20</w:t>
      </w:r>
      <w:r w:rsidRPr="00CB6662">
        <w:rPr>
          <w:vertAlign w:val="superscript"/>
          <w:lang w:eastAsia="ja-JP"/>
        </w:rPr>
        <w:t>th</w:t>
      </w:r>
      <w:r>
        <w:rPr>
          <w:lang w:eastAsia="ja-JP"/>
        </w:rPr>
        <w:t xml:space="preserve"> century is now widely accepted among policy makers. The reconfiguration of international economic competition around the id</w:t>
      </w:r>
      <w:r>
        <w:rPr>
          <w:lang w:eastAsia="ja-JP"/>
        </w:rPr>
        <w:t>e</w:t>
      </w:r>
      <w:r>
        <w:rPr>
          <w:lang w:eastAsia="ja-JP"/>
        </w:rPr>
        <w:t>ology of the ‘knowledge soc</w:t>
      </w:r>
      <w:r w:rsidR="00F037CC">
        <w:rPr>
          <w:lang w:eastAsia="ja-JP"/>
        </w:rPr>
        <w:t>iety’ (Brown, Lauder and Ashton</w:t>
      </w:r>
      <w:r>
        <w:rPr>
          <w:lang w:eastAsia="ja-JP"/>
        </w:rPr>
        <w:t xml:space="preserve"> 2007) has significantly influenced education policies worldwide, </w:t>
      </w:r>
      <w:r w:rsidR="00F037CC">
        <w:rPr>
          <w:lang w:eastAsia="ja-JP"/>
        </w:rPr>
        <w:t>particularly in the EU (Keating</w:t>
      </w:r>
      <w:r>
        <w:rPr>
          <w:lang w:eastAsia="ja-JP"/>
        </w:rPr>
        <w:t xml:space="preserve"> 2009). The increasing awareness of looming environmental disasters, the global spread of the Internet, the power of the media, and increasing multiculturalism are also combined drivers for a re-conceptualisation of the skills people should be equipped with (</w:t>
      </w:r>
      <w:r>
        <w:rPr>
          <w:i/>
          <w:lang w:eastAsia="ja-JP"/>
        </w:rPr>
        <w:t xml:space="preserve">Cf. </w:t>
      </w:r>
      <w:r w:rsidR="00F037CC">
        <w:rPr>
          <w:lang w:eastAsia="ja-JP"/>
        </w:rPr>
        <w:t>UNESCO 2013, Kaivola and Melén-Paaso</w:t>
      </w:r>
      <w:r>
        <w:rPr>
          <w:lang w:eastAsia="ja-JP"/>
        </w:rPr>
        <w:t xml:space="preserve"> 2007). </w:t>
      </w:r>
    </w:p>
    <w:p w14:paraId="4E3930F9" w14:textId="66CDE963" w:rsidR="00914569" w:rsidRDefault="00914569" w:rsidP="002607BF">
      <w:pPr>
        <w:rPr>
          <w:lang w:eastAsia="ja-JP"/>
        </w:rPr>
      </w:pPr>
      <w:r>
        <w:rPr>
          <w:lang w:eastAsia="ja-JP"/>
        </w:rPr>
        <w:t>To a set of basic skills comprising literacy and numeracy as well as communic</w:t>
      </w:r>
      <w:r>
        <w:rPr>
          <w:lang w:eastAsia="ja-JP"/>
        </w:rPr>
        <w:t>a</w:t>
      </w:r>
      <w:r>
        <w:rPr>
          <w:lang w:eastAsia="ja-JP"/>
        </w:rPr>
        <w:t>tion and technical skills that respond to recent technological developments – Info</w:t>
      </w:r>
      <w:r>
        <w:rPr>
          <w:lang w:eastAsia="ja-JP"/>
        </w:rPr>
        <w:t>r</w:t>
      </w:r>
      <w:r>
        <w:rPr>
          <w:lang w:eastAsia="ja-JP"/>
        </w:rPr>
        <w:t>mation and Communications Technology (ICT) – has been added a set of skills identified as ‘new skills’ or ‘higher</w:t>
      </w:r>
      <w:r w:rsidR="00F037CC">
        <w:rPr>
          <w:lang w:eastAsia="ja-JP"/>
        </w:rPr>
        <w:t xml:space="preserve"> order skills’ (King and Palmer</w:t>
      </w:r>
      <w:r>
        <w:rPr>
          <w:lang w:eastAsia="ja-JP"/>
        </w:rPr>
        <w:t xml:space="preserve"> 2008) – problem-solving, decision-making, team-working, learning to learn – that respond to the n</w:t>
      </w:r>
      <w:r>
        <w:rPr>
          <w:lang w:eastAsia="ja-JP"/>
        </w:rPr>
        <w:t>e</w:t>
      </w:r>
      <w:r>
        <w:rPr>
          <w:lang w:eastAsia="ja-JP"/>
        </w:rPr>
        <w:t>cessity to address an increasingly complex world. Bourn (2008) defines a category of ‘global skills’ covering areas such as the skills to work internationally (including i</w:t>
      </w:r>
      <w:r>
        <w:rPr>
          <w:lang w:eastAsia="ja-JP"/>
        </w:rPr>
        <w:t>n</w:t>
      </w:r>
      <w:r>
        <w:rPr>
          <w:lang w:eastAsia="ja-JP"/>
        </w:rPr>
        <w:t>tercultural and linguistic capabilities), to work in a global economy and the skills to understand the impacts of globalisation, that can be understood as the skills of the global citizen.</w:t>
      </w:r>
    </w:p>
    <w:p w14:paraId="0318AF6E" w14:textId="3CD49CF4" w:rsidR="00914569" w:rsidRDefault="00914569" w:rsidP="002607BF">
      <w:pPr>
        <w:rPr>
          <w:lang w:eastAsia="ja-JP"/>
        </w:rPr>
      </w:pPr>
      <w:r>
        <w:rPr>
          <w:lang w:eastAsia="ja-JP"/>
        </w:rPr>
        <w:t>Post-modernity enjoins to new attitudes towards knowledge. Scheunpflug (2011) notes that as knowledge increases</w:t>
      </w:r>
      <w:r w:rsidR="000208B6">
        <w:rPr>
          <w:lang w:eastAsia="ja-JP"/>
        </w:rPr>
        <w:t xml:space="preserve"> and the world becomes more complex</w:t>
      </w:r>
      <w:r>
        <w:rPr>
          <w:lang w:eastAsia="ja-JP"/>
        </w:rPr>
        <w:t xml:space="preserve">, regardless of how much we learn, we are </w:t>
      </w:r>
      <w:r w:rsidR="000208B6">
        <w:rPr>
          <w:lang w:eastAsia="ja-JP"/>
        </w:rPr>
        <w:t xml:space="preserve">relatively, </w:t>
      </w:r>
      <w:r>
        <w:rPr>
          <w:lang w:eastAsia="ja-JP"/>
        </w:rPr>
        <w:t>individually increasingly ignorant. Unce</w:t>
      </w:r>
      <w:r>
        <w:rPr>
          <w:lang w:eastAsia="ja-JP"/>
        </w:rPr>
        <w:t>r</w:t>
      </w:r>
      <w:r>
        <w:rPr>
          <w:lang w:eastAsia="ja-JP"/>
        </w:rPr>
        <w:t>tainty – and to some extent insecurity – with regard to knowledge is caused by u</w:t>
      </w:r>
      <w:r>
        <w:rPr>
          <w:lang w:eastAsia="ja-JP"/>
        </w:rPr>
        <w:t>n</w:t>
      </w:r>
      <w:r>
        <w:rPr>
          <w:lang w:eastAsia="ja-JP"/>
        </w:rPr>
        <w:t>manageable growing complexity (</w:t>
      </w:r>
      <w:r w:rsidR="00F037CC">
        <w:t>Lang-Wojtasik</w:t>
      </w:r>
      <w:r>
        <w:t xml:space="preserve"> 2014) </w:t>
      </w:r>
      <w:r>
        <w:rPr>
          <w:lang w:eastAsia="ja-JP"/>
        </w:rPr>
        <w:t>as well as by the encounter of worldviews, ways of knowing and cultures. Andreotti (2010) calls, in this respect, for ontological and epistemological changes in order to become more open to altern</w:t>
      </w:r>
      <w:r>
        <w:rPr>
          <w:lang w:eastAsia="ja-JP"/>
        </w:rPr>
        <w:t>a</w:t>
      </w:r>
      <w:r>
        <w:rPr>
          <w:lang w:eastAsia="ja-JP"/>
        </w:rPr>
        <w:t>tive perspectives and alternative sites for truth. She defines globalmindedness as the competencies (of the global citizen) to engage with complexity, uncertainty, diversity and inequality. She underlines the importance of reflexivity and of the ability to question one’s own assumptions, of being able to deal with the unfamiliar and amb</w:t>
      </w:r>
      <w:r>
        <w:rPr>
          <w:lang w:eastAsia="ja-JP"/>
        </w:rPr>
        <w:t>i</w:t>
      </w:r>
      <w:r>
        <w:rPr>
          <w:lang w:eastAsia="ja-JP"/>
        </w:rPr>
        <w:t>guity, and of recognising the right of others to hold con</w:t>
      </w:r>
      <w:r w:rsidR="0000668C">
        <w:rPr>
          <w:lang w:eastAsia="ja-JP"/>
        </w:rPr>
        <w:t>tradictory views (DEEEP Project</w:t>
      </w:r>
      <w:r>
        <w:rPr>
          <w:lang w:eastAsia="ja-JP"/>
        </w:rPr>
        <w:t xml:space="preserve"> 2011). </w:t>
      </w:r>
    </w:p>
    <w:p w14:paraId="650EC2CF" w14:textId="0E44724B" w:rsidR="00914569" w:rsidRDefault="00956E08" w:rsidP="002607BF">
      <w:pPr>
        <w:rPr>
          <w:lang w:eastAsia="ja-JP"/>
        </w:rPr>
      </w:pPr>
      <w:r>
        <w:rPr>
          <w:lang w:eastAsia="ja-JP"/>
        </w:rPr>
        <w:t>Since the early 2000</w:t>
      </w:r>
      <w:r w:rsidR="00914569">
        <w:rPr>
          <w:lang w:eastAsia="ja-JP"/>
        </w:rPr>
        <w:t>s, European policy documents (both from the EU and from the Council of Europe) have devised guidelines and frameworks that define the skills necessary for “good” citizenship</w:t>
      </w:r>
      <w:r w:rsidR="00914569" w:rsidRPr="00F802E7">
        <w:rPr>
          <w:lang w:eastAsia="ja-JP"/>
        </w:rPr>
        <w:t xml:space="preserve"> </w:t>
      </w:r>
      <w:r w:rsidR="00914569">
        <w:rPr>
          <w:lang w:eastAsia="ja-JP"/>
        </w:rPr>
        <w:t>(Keatin</w:t>
      </w:r>
      <w:r w:rsidR="0000668C">
        <w:rPr>
          <w:lang w:eastAsia="ja-JP"/>
        </w:rPr>
        <w:t>g</w:t>
      </w:r>
      <w:r w:rsidR="00914569">
        <w:rPr>
          <w:lang w:eastAsia="ja-JP"/>
        </w:rPr>
        <w:t xml:space="preserve"> 2009). </w:t>
      </w:r>
      <w:r w:rsidR="00F41CED">
        <w:rPr>
          <w:lang w:eastAsia="ja-JP"/>
        </w:rPr>
        <w:t>I</w:t>
      </w:r>
      <w:r w:rsidR="00914569">
        <w:rPr>
          <w:lang w:eastAsia="ja-JP"/>
        </w:rPr>
        <w:t>n the context of the EU pr</w:t>
      </w:r>
      <w:r w:rsidR="00914569">
        <w:rPr>
          <w:lang w:eastAsia="ja-JP"/>
        </w:rPr>
        <w:t>e</w:t>
      </w:r>
      <w:r w:rsidR="00914569">
        <w:rPr>
          <w:lang w:eastAsia="ja-JP"/>
        </w:rPr>
        <w:t xml:space="preserve">tending to become </w:t>
      </w:r>
      <w:r w:rsidR="00914569" w:rsidRPr="00160AD4">
        <w:rPr>
          <w:lang w:eastAsia="ja-JP"/>
        </w:rPr>
        <w:t xml:space="preserve">“the most competitive and dynamic knowledge-based economy in the world”, </w:t>
      </w:r>
      <w:r w:rsidR="000E4897">
        <w:rPr>
          <w:lang w:eastAsia="ja-JP"/>
        </w:rPr>
        <w:t>for Keating (2009: 146),</w:t>
      </w:r>
      <w:r w:rsidR="000E4897" w:rsidRPr="000E4897">
        <w:rPr>
          <w:lang w:eastAsia="ja-JP"/>
        </w:rPr>
        <w:t xml:space="preserve"> </w:t>
      </w:r>
      <w:r w:rsidR="000E4897">
        <w:rPr>
          <w:lang w:eastAsia="ja-JP"/>
        </w:rPr>
        <w:t>the rhetoric of these policies</w:t>
      </w:r>
      <w:r w:rsidR="00914569">
        <w:rPr>
          <w:lang w:eastAsia="ja-JP"/>
        </w:rPr>
        <w:t xml:space="preserve"> “almost su</w:t>
      </w:r>
      <w:r w:rsidR="00914569">
        <w:rPr>
          <w:lang w:eastAsia="ja-JP"/>
        </w:rPr>
        <w:t>g</w:t>
      </w:r>
      <w:r w:rsidR="00914569">
        <w:rPr>
          <w:lang w:eastAsia="ja-JP"/>
        </w:rPr>
        <w:t>gests” that it is education, rather than legal rights, that conditions access to citize</w:t>
      </w:r>
      <w:r w:rsidR="00914569">
        <w:rPr>
          <w:lang w:eastAsia="ja-JP"/>
        </w:rPr>
        <w:t>n</w:t>
      </w:r>
      <w:r w:rsidR="00914569">
        <w:rPr>
          <w:lang w:eastAsia="ja-JP"/>
        </w:rPr>
        <w:t xml:space="preserve">ship. This is not evidently reflected in CEEFS. </w:t>
      </w:r>
    </w:p>
    <w:p w14:paraId="025473B8" w14:textId="77777777" w:rsidR="00914569" w:rsidRDefault="00914569" w:rsidP="002607BF">
      <w:pPr>
        <w:rPr>
          <w:lang w:eastAsia="ja-JP"/>
        </w:rPr>
      </w:pPr>
      <w:r>
        <w:rPr>
          <w:lang w:eastAsia="ja-JP"/>
        </w:rPr>
        <w:t>Skills related to the democratic necessity to debate – critical thinking, ability to reason, to argue and to form opinions – are mentioned numerous times (See above). Other areas of citizenship competence are also mentioned. However, t</w:t>
      </w:r>
      <w:r w:rsidRPr="00B265B2">
        <w:rPr>
          <w:lang w:eastAsia="ja-JP"/>
        </w:rPr>
        <w:t>he i</w:t>
      </w:r>
      <w:r w:rsidRPr="00B265B2">
        <w:rPr>
          <w:lang w:eastAsia="ja-JP"/>
        </w:rPr>
        <w:t>m</w:t>
      </w:r>
      <w:r w:rsidRPr="00B265B2">
        <w:rPr>
          <w:lang w:eastAsia="ja-JP"/>
        </w:rPr>
        <w:t>portance of resolving conflict fairly, the signi</w:t>
      </w:r>
      <w:r>
        <w:rPr>
          <w:lang w:eastAsia="ja-JP"/>
        </w:rPr>
        <w:t>ficance of the media in society,</w:t>
      </w:r>
      <w:r w:rsidRPr="00B265B2">
        <w:rPr>
          <w:lang w:eastAsia="ja-JP"/>
        </w:rPr>
        <w:t xml:space="preserve"> the world as a global community</w:t>
      </w:r>
      <w:r>
        <w:rPr>
          <w:lang w:eastAsia="ja-JP"/>
        </w:rPr>
        <w:t xml:space="preserve"> are presented as broad topics to be sensitised to, not as skills, although they are domains in which specific skills must be articulated in order to become teaching aims. Does the “significance of the media” mean media literacy?</w:t>
      </w:r>
    </w:p>
    <w:p w14:paraId="7CE80F44" w14:textId="7D451A90" w:rsidR="00914569" w:rsidRDefault="00914569" w:rsidP="002607BF">
      <w:pPr>
        <w:rPr>
          <w:lang w:eastAsia="ja-JP"/>
        </w:rPr>
      </w:pPr>
      <w:r>
        <w:rPr>
          <w:lang w:eastAsia="ja-JP"/>
        </w:rPr>
        <w:t xml:space="preserve">Citizenship is also formed through the media to a significant extent. Urry (1998) </w:t>
      </w:r>
      <w:r w:rsidR="001E3125">
        <w:rPr>
          <w:lang w:eastAsia="ja-JP"/>
        </w:rPr>
        <w:t>stresses</w:t>
      </w:r>
      <w:r>
        <w:rPr>
          <w:lang w:eastAsia="ja-JP"/>
        </w:rPr>
        <w:t xml:space="preserve"> how important television and the radio have been throughout the 20</w:t>
      </w:r>
      <w:r w:rsidRPr="00AF0FE6">
        <w:rPr>
          <w:vertAlign w:val="superscript"/>
          <w:lang w:eastAsia="ja-JP"/>
        </w:rPr>
        <w:t>th</w:t>
      </w:r>
      <w:r>
        <w:rPr>
          <w:lang w:eastAsia="ja-JP"/>
        </w:rPr>
        <w:t xml:space="preserve"> ce</w:t>
      </w:r>
      <w:r>
        <w:rPr>
          <w:lang w:eastAsia="ja-JP"/>
        </w:rPr>
        <w:t>n</w:t>
      </w:r>
      <w:r>
        <w:rPr>
          <w:lang w:eastAsia="ja-JP"/>
        </w:rPr>
        <w:t>tury in the development of national citizenships, and how global media (See also Mar</w:t>
      </w:r>
      <w:r w:rsidR="0000668C">
        <w:rPr>
          <w:lang w:eastAsia="ja-JP"/>
        </w:rPr>
        <w:t>shall</w:t>
      </w:r>
      <w:r>
        <w:rPr>
          <w:lang w:eastAsia="ja-JP"/>
        </w:rPr>
        <w:t xml:space="preserve"> 2009) shape people’s perspective of global issues today, and consequently the consciousness of the global citizen. Masterman’s (1985) discourse-analysis a</w:t>
      </w:r>
      <w:r>
        <w:rPr>
          <w:lang w:eastAsia="ja-JP"/>
        </w:rPr>
        <w:t>p</w:t>
      </w:r>
      <w:r>
        <w:rPr>
          <w:lang w:eastAsia="ja-JP"/>
        </w:rPr>
        <w:t>proach, showed how ideology operates in the mass media and how critical the ability to decode broadcasters’ intentions is to the formation of self-determined, “media-literate” citizens, and to democracy. The pervasiveness of images and the prolifer</w:t>
      </w:r>
      <w:r>
        <w:rPr>
          <w:lang w:eastAsia="ja-JP"/>
        </w:rPr>
        <w:t>a</w:t>
      </w:r>
      <w:r>
        <w:rPr>
          <w:lang w:eastAsia="ja-JP"/>
        </w:rPr>
        <w:t>tion of sources of information make media literacy a necessary competence for cit</w:t>
      </w:r>
      <w:r>
        <w:rPr>
          <w:lang w:eastAsia="ja-JP"/>
        </w:rPr>
        <w:t>i</w:t>
      </w:r>
      <w:r>
        <w:rPr>
          <w:lang w:eastAsia="ja-JP"/>
        </w:rPr>
        <w:t xml:space="preserve">zenship that CEEFS has overlooked. </w:t>
      </w:r>
    </w:p>
    <w:p w14:paraId="7731647D" w14:textId="5E568EF9" w:rsidR="00914569" w:rsidRDefault="00914569" w:rsidP="00633F46">
      <w:pPr>
        <w:rPr>
          <w:lang w:eastAsia="ja-JP"/>
        </w:rPr>
      </w:pPr>
      <w:r>
        <w:rPr>
          <w:lang w:eastAsia="ja-JP"/>
        </w:rPr>
        <w:t>Globalisation and its impacts do not appear as drivers for redefined skills for the citizen.</w:t>
      </w:r>
      <w:r w:rsidR="00633F46">
        <w:rPr>
          <w:lang w:eastAsia="ja-JP"/>
        </w:rPr>
        <w:t xml:space="preserve"> </w:t>
      </w:r>
      <w:r>
        <w:rPr>
          <w:lang w:eastAsia="ja-JP"/>
        </w:rPr>
        <w:t>Skills related to King and Palmer’s (2008) “higher order” category are me</w:t>
      </w:r>
      <w:r>
        <w:rPr>
          <w:lang w:eastAsia="ja-JP"/>
        </w:rPr>
        <w:t>n</w:t>
      </w:r>
      <w:r w:rsidR="00633F46">
        <w:rPr>
          <w:lang w:eastAsia="ja-JP"/>
        </w:rPr>
        <w:t>tioned</w:t>
      </w:r>
      <w:r w:rsidR="00ED2FC1">
        <w:rPr>
          <w:lang w:eastAsia="ja-JP"/>
        </w:rPr>
        <w:t xml:space="preserve"> (d</w:t>
      </w:r>
      <w:r w:rsidR="00CF035C">
        <w:rPr>
          <w:lang w:eastAsia="ja-JP"/>
        </w:rPr>
        <w:t>ecision-</w:t>
      </w:r>
      <w:r w:rsidR="00ED2FC1">
        <w:rPr>
          <w:lang w:eastAsia="ja-JP"/>
        </w:rPr>
        <w:t>making, risk-management</w:t>
      </w:r>
      <w:r>
        <w:rPr>
          <w:lang w:eastAsia="ja-JP"/>
        </w:rPr>
        <w:t xml:space="preserve">, developing relationships </w:t>
      </w:r>
      <w:r w:rsidR="0000668C">
        <w:rPr>
          <w:lang w:eastAsia="ja-JP"/>
        </w:rPr>
        <w:t>and work</w:t>
      </w:r>
      <w:r w:rsidR="00ED2FC1">
        <w:rPr>
          <w:lang w:eastAsia="ja-JP"/>
        </w:rPr>
        <w:t>ing with others)</w:t>
      </w:r>
      <w:r>
        <w:rPr>
          <w:lang w:eastAsia="ja-JP"/>
        </w:rPr>
        <w:t xml:space="preserve"> but are linked to the ability of the individual to manage their behaviour with respect to health issues and mental wellbeing. They are not </w:t>
      </w:r>
      <w:r w:rsidR="00A87052">
        <w:rPr>
          <w:lang w:eastAsia="ja-JP"/>
        </w:rPr>
        <w:t>considered</w:t>
      </w:r>
      <w:r>
        <w:rPr>
          <w:lang w:eastAsia="ja-JP"/>
        </w:rPr>
        <w:t xml:space="preserve"> in </w:t>
      </w:r>
      <w:r w:rsidR="00A87052">
        <w:rPr>
          <w:lang w:eastAsia="ja-JP"/>
        </w:rPr>
        <w:t>the context of</w:t>
      </w:r>
      <w:r>
        <w:rPr>
          <w:lang w:eastAsia="ja-JP"/>
        </w:rPr>
        <w:t xml:space="preserve"> globalisation and social change. CEEFS also ignores intercultural and li</w:t>
      </w:r>
      <w:r>
        <w:rPr>
          <w:lang w:eastAsia="ja-JP"/>
        </w:rPr>
        <w:t>n</w:t>
      </w:r>
      <w:r>
        <w:rPr>
          <w:lang w:eastAsia="ja-JP"/>
        </w:rPr>
        <w:t xml:space="preserve">guistic competencies. The EU has twenty-four official languages, many non-official regional ones and many more spoken by migrants. Yet language skills do not appear as essential components of European citizenship. </w:t>
      </w:r>
    </w:p>
    <w:p w14:paraId="3CE90BB7" w14:textId="77777777" w:rsidR="00914569" w:rsidRDefault="00914569" w:rsidP="00914569">
      <w:pPr>
        <w:pStyle w:val="Heading1"/>
        <w:rPr>
          <w:lang w:eastAsia="ja-JP"/>
        </w:rPr>
      </w:pPr>
      <w:r>
        <w:rPr>
          <w:lang w:eastAsia="ja-JP"/>
        </w:rPr>
        <w:t>Recommendations and conclusion</w:t>
      </w:r>
    </w:p>
    <w:p w14:paraId="53735282" w14:textId="2BACB76C" w:rsidR="00914569" w:rsidRDefault="00914569" w:rsidP="007B05E1">
      <w:r>
        <w:t xml:space="preserve">In this assignment I have </w:t>
      </w:r>
      <w:r w:rsidR="00CF035C">
        <w:t>evaluated</w:t>
      </w:r>
      <w:r>
        <w:t xml:space="preserve"> the potential of CEEFS for a form of citize</w:t>
      </w:r>
      <w:r>
        <w:t>n</w:t>
      </w:r>
      <w:r>
        <w:t>ship education in line with the principles of DE. The theoretical framework adapted from Abowitz and Harnish (2006) has allowed me to identify the political liberal ideology as the dominant source of meaning for both citizenship and citizenship e</w:t>
      </w:r>
      <w:r>
        <w:t>d</w:t>
      </w:r>
      <w:r>
        <w:t xml:space="preserve">ucation in CEEFS, and critical discourses questioning social order, power relations, injustice and inequality as well as discourses conceptualising citizenship as extending beyond national borders as marginalised. </w:t>
      </w:r>
      <w:r w:rsidR="006B1CDD">
        <w:t>The marginalisation of these two a</w:t>
      </w:r>
      <w:r w:rsidR="006B1CDD">
        <w:t>p</w:t>
      </w:r>
      <w:r w:rsidR="006B1CDD">
        <w:t>proaches to citizenship education discloses the insignificance, in the account of cit</w:t>
      </w:r>
      <w:r w:rsidR="006B1CDD">
        <w:t>i</w:t>
      </w:r>
      <w:r w:rsidR="006B1CDD">
        <w:t>zenship given b</w:t>
      </w:r>
      <w:r w:rsidR="007B05E1">
        <w:t xml:space="preserve">y CEEFS, of the principles and values DE promote. </w:t>
      </w:r>
      <w:r>
        <w:t>Furthermore, as an educational policy document, CEEFS fails to identify the skills that contemporary life has rendered indispensable for learners to become successful s</w:t>
      </w:r>
      <w:r w:rsidR="00664FDC">
        <w:t>ocial and political beings.</w:t>
      </w:r>
      <w:r w:rsidR="009B73F3">
        <w:t xml:space="preserve"> </w:t>
      </w:r>
      <w:r>
        <w:t xml:space="preserve">The following recommendations focus on pedagogy, globalmindedness and skills for a changing world. </w:t>
      </w:r>
    </w:p>
    <w:p w14:paraId="0A3115B4" w14:textId="77777777" w:rsidR="00914569" w:rsidRDefault="00914569" w:rsidP="00914569">
      <w:pPr>
        <w:pStyle w:val="Heading4"/>
      </w:pPr>
      <w:r>
        <w:t>Pedagogy</w:t>
      </w:r>
    </w:p>
    <w:p w14:paraId="181A5104" w14:textId="6D706B09" w:rsidR="00914569" w:rsidRDefault="00914569" w:rsidP="00914569">
      <w:r>
        <w:t xml:space="preserve">In CEEFS, education inappropriately </w:t>
      </w:r>
      <w:r w:rsidR="00956E08">
        <w:t>comes across</w:t>
      </w:r>
      <w:r>
        <w:t xml:space="preserve"> as a set of behavioural rules and normative precepts by which one must abide. An education that intends to form responsible citizens must presuppose le</w:t>
      </w:r>
      <w:r w:rsidR="0000668C">
        <w:t>arners responsible (Scheunpflug</w:t>
      </w:r>
      <w:r>
        <w:t xml:space="preserve"> 2008), and hand over to </w:t>
      </w:r>
      <w:r w:rsidRPr="00956E08">
        <w:rPr>
          <w:i/>
        </w:rPr>
        <w:t>them</w:t>
      </w:r>
      <w:r>
        <w:t xml:space="preserve"> the possibility of transforming society. It must trust learners to have the capacity to arrive at sound conclusions of their own regarding morals, et</w:t>
      </w:r>
      <w:r>
        <w:t>h</w:t>
      </w:r>
      <w:r>
        <w:t>ics and politics. Critical pedagogy, as theorised by Giroux or Freire, must inspire ci</w:t>
      </w:r>
      <w:r>
        <w:t>t</w:t>
      </w:r>
      <w:r>
        <w:t>izenship education practices, and bring society (and what it contains in terms of power relations) into the classroom for e</w:t>
      </w:r>
      <w:r w:rsidR="00B6598B">
        <w:t>xamination.</w:t>
      </w:r>
    </w:p>
    <w:p w14:paraId="44A2C9E3" w14:textId="77777777" w:rsidR="00914569" w:rsidRDefault="00914569" w:rsidP="00914569">
      <w:r>
        <w:t xml:space="preserve">Citizenship education must also give the learners the opportunity to become knowledge producers. Social order is produced and </w:t>
      </w:r>
      <w:r w:rsidRPr="00846689">
        <w:rPr>
          <w:i/>
        </w:rPr>
        <w:t>re</w:t>
      </w:r>
      <w:r>
        <w:t>-produced as the knowledge it generates shapes our representations of society. Knowledge designates (attribute signifiers to) what is real and what is possible. Knowledge production therefore, if society is to be democratic and inclusive, must not be the privilege of some, but the responsibility of all. Citizenship education must give learners autonomy and respo</w:t>
      </w:r>
      <w:r>
        <w:t>n</w:t>
      </w:r>
      <w:r>
        <w:t>sibility by giving them the means to inquire about and regulate their own social env</w:t>
      </w:r>
      <w:r>
        <w:t>i</w:t>
      </w:r>
      <w:r>
        <w:t xml:space="preserve">ronment – the classroom, the school, and their roles in the city (polis). </w:t>
      </w:r>
    </w:p>
    <w:p w14:paraId="3427F596" w14:textId="77777777" w:rsidR="00914569" w:rsidRDefault="00914569" w:rsidP="00914569">
      <w:pPr>
        <w:pStyle w:val="Heading4"/>
      </w:pPr>
      <w:r>
        <w:t>Globalmindedness</w:t>
      </w:r>
    </w:p>
    <w:p w14:paraId="7C055973" w14:textId="77777777" w:rsidR="00914569" w:rsidRDefault="00914569" w:rsidP="00914569">
      <w:r>
        <w:t>National citizenships, especially in Europe, have been constructed with at their core, a belief system centred on national identities and a form of essentialism. This restricted view might be said to inhibit the empathy one is naturally drawn to exper</w:t>
      </w:r>
      <w:r>
        <w:t>i</w:t>
      </w:r>
      <w:r>
        <w:t>ence for others, by constructing the other as not having the same “quality” of h</w:t>
      </w:r>
      <w:r>
        <w:t>u</w:t>
      </w:r>
      <w:r>
        <w:t>manity. While citizenship can be understood as membership of a particular political community, it appears increasingly important to decouple questions of citizenship and identity. Empathy and recognition that all humans are entitled to equal dignity are indispensable to understanding interconnectedness – spiritual, economic or p</w:t>
      </w:r>
      <w:r>
        <w:t>o</w:t>
      </w:r>
      <w:r>
        <w:t xml:space="preserve">litical. Empathy also leads to responsibility in that it allows to perceive inequality as injustice. Citizenship education for a more just world must look beyond borders and educate for global citizenship. </w:t>
      </w:r>
    </w:p>
    <w:p w14:paraId="7445886F" w14:textId="6B12E46F" w:rsidR="00914569" w:rsidRDefault="00914569" w:rsidP="00914569">
      <w:r>
        <w:t>Citizenship education also needs to promote an understanding of the concepts of development in terms of social capabilities, rights, justice and economic develo</w:t>
      </w:r>
      <w:r>
        <w:t>p</w:t>
      </w:r>
      <w:r>
        <w:t>ment (</w:t>
      </w:r>
      <w:r w:rsidRPr="00E35A88">
        <w:rPr>
          <w:i/>
        </w:rPr>
        <w:t>Cf</w:t>
      </w:r>
      <w:r w:rsidR="0000668C">
        <w:t>. Sen</w:t>
      </w:r>
      <w:r>
        <w:t xml:space="preserve"> 1999), relying on the appreciation of multiple perspectives. It is also critical that human development be understood in relation to the sustainability of human life on Earth, both in terms of the preservation of our natural environment and in terms of justice and peace. </w:t>
      </w:r>
    </w:p>
    <w:p w14:paraId="2A900DAD" w14:textId="77777777" w:rsidR="00914569" w:rsidRDefault="00914569" w:rsidP="00914569">
      <w:pPr>
        <w:pStyle w:val="Heading4"/>
      </w:pPr>
      <w:r>
        <w:t>Skills</w:t>
      </w:r>
    </w:p>
    <w:p w14:paraId="7369695B" w14:textId="75DE670D" w:rsidR="00914569" w:rsidRDefault="00914569" w:rsidP="00914569">
      <w:r>
        <w:t>For citizens to find their place in tomorrow’s society, education must also aim to equip them with skills suitable to life and work in a globalised, complex, uncertain and rapidly changing world. Skills are needed that enable people to make sense of rapid social change, to engage with global issues and that will give them the “conf</w:t>
      </w:r>
      <w:r>
        <w:t>i</w:t>
      </w:r>
      <w:r>
        <w:t>dence, knowledge and values base” to contribute positi</w:t>
      </w:r>
      <w:r w:rsidR="0000668C">
        <w:t>vely to society (Bourn</w:t>
      </w:r>
      <w:r>
        <w:t xml:space="preserve"> 2015: 146). </w:t>
      </w:r>
    </w:p>
    <w:p w14:paraId="2DFBBB26" w14:textId="77777777" w:rsidR="00914569" w:rsidRDefault="00914569" w:rsidP="00914569">
      <w:r>
        <w:t xml:space="preserve">Citizenship education must promote greater cultural awareness, intercultural competence, multilingualism, and an understanding of globalisation and its impacts on our lives and societies. Skills to engage with complexity, such as critical thinking, relational thinking or problem solving, must also be promoted and geared towards the challenges that are facing humanity: conflicts, environmental disasters, global poverty. </w:t>
      </w:r>
    </w:p>
    <w:p w14:paraId="2D477AA5" w14:textId="73BD254E" w:rsidR="00914569" w:rsidRDefault="00914569" w:rsidP="00914569">
      <w:r>
        <w:t xml:space="preserve">The critical approach to global citizenship education proposed by Andreotti (2006), based on poststructuralism and critical literacy, encourages the development of skills that can enable learners’ engagement with the question of identity haunting Western European societies. It also fosters scepticism towards the ideologies that shape common understandings of structural inequalities and human development. Furthermore, the poststructuralist approach to language, meaning and ideology can enhance self-determination in a society dominated by a mass media interested in controlling people’s behaviour. </w:t>
      </w:r>
    </w:p>
    <w:p w14:paraId="2A38DD9D" w14:textId="3F846FA4" w:rsidR="00914569" w:rsidRDefault="00914569" w:rsidP="00914569">
      <w:r>
        <w:t xml:space="preserve">Some of these principles have being introduced in school curricula throughout Europe, </w:t>
      </w:r>
      <w:r w:rsidR="0000668C">
        <w:t>although unevenly (Sierra et al</w:t>
      </w:r>
      <w:r>
        <w:t xml:space="preserve"> 2012), but CEEFS does not do justice to these initiatives. By restricting the conception of citizenship to so few liberal princ</w:t>
      </w:r>
      <w:r>
        <w:t>i</w:t>
      </w:r>
      <w:r>
        <w:t>ples, it fails to recognise the significance of social change to what being a citizen e</w:t>
      </w:r>
      <w:r>
        <w:t>n</w:t>
      </w:r>
      <w:r>
        <w:t>tails. I have tried to demonstrate that a global outlook, an understanding of global</w:t>
      </w:r>
      <w:r>
        <w:t>i</w:t>
      </w:r>
      <w:r>
        <w:t xml:space="preserve">sation and the appropriate skills to deal with change and complexity are to be part of the core attributes of citizenship rather than peripheral features. </w:t>
      </w:r>
    </w:p>
    <w:p w14:paraId="0903284F" w14:textId="3DB83AF0" w:rsidR="0076458F" w:rsidRPr="00AC0201" w:rsidRDefault="0076458F" w:rsidP="0076458F">
      <w:pPr>
        <w:pStyle w:val="Heading2"/>
      </w:pPr>
      <w:r>
        <w:t>Bibliography</w:t>
      </w:r>
    </w:p>
    <w:p w14:paraId="592E25E2" w14:textId="77777777" w:rsidR="0076458F" w:rsidRPr="00AC0201" w:rsidRDefault="0076458F" w:rsidP="0076458F">
      <w:pPr>
        <w:pStyle w:val="Bibliography"/>
      </w:pPr>
      <w:r w:rsidRPr="00AC0201">
        <w:t>ABOWITZ, K. K. and HARNISH, J. (2006) Contemporary discourses of citize</w:t>
      </w:r>
      <w:r w:rsidRPr="00AC0201">
        <w:t>n</w:t>
      </w:r>
      <w:r w:rsidRPr="00AC0201">
        <w:t xml:space="preserve">ship. </w:t>
      </w:r>
      <w:r w:rsidRPr="00AC0201">
        <w:rPr>
          <w:i/>
        </w:rPr>
        <w:t>Review of Educational Research</w:t>
      </w:r>
      <w:r w:rsidRPr="00AC0201">
        <w:t xml:space="preserve">, 76(4), pp. 653 – 690. </w:t>
      </w:r>
    </w:p>
    <w:p w14:paraId="5A702F00" w14:textId="77777777" w:rsidR="0076458F" w:rsidRPr="00AC0201" w:rsidRDefault="0076458F" w:rsidP="0076458F">
      <w:pPr>
        <w:pStyle w:val="Bibliography"/>
      </w:pPr>
      <w:r w:rsidRPr="00AC0201">
        <w:t xml:space="preserve">ALLAN, A. and CHARLES, C. (2105) Preparing life in the global village: producing global citizen subjects in UK schools. </w:t>
      </w:r>
      <w:r w:rsidRPr="00AC0201">
        <w:rPr>
          <w:i/>
        </w:rPr>
        <w:t xml:space="preserve">Research Papers in Education, </w:t>
      </w:r>
      <w:r w:rsidRPr="00AC0201">
        <w:t>30(1), pp. 25 – 43.</w:t>
      </w:r>
    </w:p>
    <w:p w14:paraId="1CC7F0BD" w14:textId="77777777" w:rsidR="0076458F" w:rsidRPr="00AC0201" w:rsidRDefault="0076458F" w:rsidP="0076458F">
      <w:pPr>
        <w:pStyle w:val="Bibliography"/>
      </w:pPr>
      <w:r w:rsidRPr="00AC0201">
        <w:t xml:space="preserve">ANDREOTTI, V (2006) Soft versus critical global citizenship education. </w:t>
      </w:r>
      <w:r w:rsidRPr="00AC0201">
        <w:rPr>
          <w:i/>
        </w:rPr>
        <w:t>Policy &amp; Practice: A Development Education Review</w:t>
      </w:r>
      <w:r w:rsidRPr="00AC0201">
        <w:t>, 3 (Autumn), pp. 40 – 51.</w:t>
      </w:r>
    </w:p>
    <w:p w14:paraId="3D6B3F0E" w14:textId="77777777" w:rsidR="0076458F" w:rsidRPr="00AC0201" w:rsidRDefault="0076458F" w:rsidP="0076458F">
      <w:pPr>
        <w:pStyle w:val="Bibliography"/>
      </w:pPr>
      <w:r w:rsidRPr="00AC0201">
        <w:t>ANDREOTTI, V. (2010) Global Education in the ‘21</w:t>
      </w:r>
      <w:r w:rsidRPr="00AC0201">
        <w:rPr>
          <w:vertAlign w:val="superscript"/>
        </w:rPr>
        <w:t>st</w:t>
      </w:r>
      <w:r w:rsidRPr="00AC0201">
        <w:t xml:space="preserve"> Century’: two different pe</w:t>
      </w:r>
      <w:r w:rsidRPr="00AC0201">
        <w:t>r</w:t>
      </w:r>
      <w:r w:rsidRPr="00AC0201">
        <w:t xml:space="preserve">spectives on the ‘post-’ of postmodernism. </w:t>
      </w:r>
      <w:r w:rsidRPr="00AC0201">
        <w:rPr>
          <w:i/>
        </w:rPr>
        <w:t>International Journal of Development Ed</w:t>
      </w:r>
      <w:r w:rsidRPr="00AC0201">
        <w:rPr>
          <w:i/>
        </w:rPr>
        <w:t>u</w:t>
      </w:r>
      <w:r w:rsidRPr="00AC0201">
        <w:rPr>
          <w:i/>
        </w:rPr>
        <w:t>cation and Global Learning</w:t>
      </w:r>
      <w:r w:rsidRPr="00AC0201">
        <w:t xml:space="preserve">, 2 (2), pp. 5 – 22. </w:t>
      </w:r>
    </w:p>
    <w:p w14:paraId="565EBEFF" w14:textId="77777777" w:rsidR="0076458F" w:rsidRPr="00AC0201" w:rsidRDefault="0076458F" w:rsidP="0076458F">
      <w:pPr>
        <w:pStyle w:val="Bibliography"/>
      </w:pPr>
      <w:r w:rsidRPr="00AC0201">
        <w:t xml:space="preserve">ANDREOTTI, V. (2011) </w:t>
      </w:r>
      <w:r w:rsidRPr="00AC0201">
        <w:rPr>
          <w:i/>
        </w:rPr>
        <w:t>Actionable Postcolonial Theory in Education.</w:t>
      </w:r>
      <w:r w:rsidRPr="00AC0201">
        <w:t xml:space="preserve"> New York: Pa</w:t>
      </w:r>
      <w:r w:rsidRPr="00AC0201">
        <w:t>l</w:t>
      </w:r>
      <w:r w:rsidRPr="00AC0201">
        <w:t>grave McMillan.</w:t>
      </w:r>
    </w:p>
    <w:p w14:paraId="0BD21E59" w14:textId="77777777" w:rsidR="0076458F" w:rsidRPr="00AC0201" w:rsidRDefault="0076458F" w:rsidP="0076458F">
      <w:pPr>
        <w:pStyle w:val="Bibliography"/>
      </w:pPr>
      <w:r w:rsidRPr="00AC0201">
        <w:t xml:space="preserve">APPADURAI, A. (1996) </w:t>
      </w:r>
      <w:r w:rsidRPr="00AC0201">
        <w:rPr>
          <w:i/>
        </w:rPr>
        <w:t>Modernity at Large: Cultural Dimensions of Globalisation</w:t>
      </w:r>
      <w:r w:rsidRPr="00AC0201">
        <w:t>. Mi</w:t>
      </w:r>
      <w:r w:rsidRPr="00AC0201">
        <w:t>n</w:t>
      </w:r>
      <w:r w:rsidRPr="00AC0201">
        <w:t xml:space="preserve">neapolis: University of Minnesota Press. </w:t>
      </w:r>
    </w:p>
    <w:p w14:paraId="16E2EA6A" w14:textId="77777777" w:rsidR="0076458F" w:rsidRPr="00AC0201" w:rsidRDefault="0076458F" w:rsidP="0076458F">
      <w:pPr>
        <w:pStyle w:val="Bibliography"/>
      </w:pPr>
      <w:r w:rsidRPr="00AC0201">
        <w:t xml:space="preserve">ARDOINO J. and LOURAU R. (1994) </w:t>
      </w:r>
      <w:r w:rsidRPr="00AC0201">
        <w:rPr>
          <w:i/>
        </w:rPr>
        <w:t>Les pédagogies institutionnelles.</w:t>
      </w:r>
      <w:r w:rsidRPr="00AC0201">
        <w:t xml:space="preserve"> Paris: Presse Universitaire de France.</w:t>
      </w:r>
    </w:p>
    <w:p w14:paraId="1A47B32F" w14:textId="77777777" w:rsidR="0076458F" w:rsidRPr="00AC0201" w:rsidRDefault="0076458F" w:rsidP="0076458F">
      <w:pPr>
        <w:pStyle w:val="Bibliography"/>
      </w:pPr>
      <w:r w:rsidRPr="00AC0201">
        <w:t xml:space="preserve">ARNEIL, B. (2007) Global Citizenship and Empire. </w:t>
      </w:r>
      <w:r w:rsidRPr="00AC0201">
        <w:rPr>
          <w:i/>
        </w:rPr>
        <w:t>Citizenship Studies</w:t>
      </w:r>
      <w:r w:rsidRPr="00AC0201">
        <w:t>, 11 (3), pp. 310 – 328.</w:t>
      </w:r>
    </w:p>
    <w:p w14:paraId="4BB1E146" w14:textId="77777777" w:rsidR="0076458F" w:rsidRPr="00AC0201" w:rsidRDefault="0076458F" w:rsidP="0076458F">
      <w:pPr>
        <w:pStyle w:val="Bibliography"/>
      </w:pPr>
      <w:r w:rsidRPr="00AC0201">
        <w:t xml:space="preserve">ASHCROFT, B., GRIFFITHS, G. and TIFFIN, H. (2007) </w:t>
      </w:r>
      <w:r w:rsidRPr="00AC0201">
        <w:rPr>
          <w:i/>
        </w:rPr>
        <w:t>Post-colonial Studies: The Key concepts.</w:t>
      </w:r>
      <w:r w:rsidRPr="00AC0201">
        <w:t xml:space="preserve"> 2</w:t>
      </w:r>
      <w:r w:rsidRPr="00AC0201">
        <w:rPr>
          <w:vertAlign w:val="superscript"/>
        </w:rPr>
        <w:t>nd</w:t>
      </w:r>
      <w:r w:rsidRPr="00AC0201">
        <w:t xml:space="preserve"> ed. Oxon: Routledge. </w:t>
      </w:r>
    </w:p>
    <w:p w14:paraId="021C140C" w14:textId="77777777" w:rsidR="0076458F" w:rsidRPr="00AC0201" w:rsidRDefault="0076458F" w:rsidP="0076458F">
      <w:pPr>
        <w:pStyle w:val="Bibliography"/>
      </w:pPr>
      <w:r w:rsidRPr="00AC0201">
        <w:t>BIESTA, G. (2008) What kind of citizen? What kind of democracy? Citizenship e</w:t>
      </w:r>
      <w:r w:rsidRPr="00AC0201">
        <w:t>d</w:t>
      </w:r>
      <w:r w:rsidRPr="00AC0201">
        <w:t>ucation and the Scottish Curriculum for Excellence</w:t>
      </w:r>
      <w:r w:rsidRPr="00AC0201">
        <w:rPr>
          <w:i/>
        </w:rPr>
        <w:t>. Scottish Educational Review</w:t>
      </w:r>
      <w:r w:rsidRPr="00AC0201">
        <w:t>, 40 (2), pp. 38 – 52.</w:t>
      </w:r>
    </w:p>
    <w:p w14:paraId="0A39CD21" w14:textId="77777777" w:rsidR="0076458F" w:rsidRPr="00AC0201" w:rsidRDefault="0076458F" w:rsidP="0076458F">
      <w:pPr>
        <w:pStyle w:val="Bibliography"/>
      </w:pPr>
      <w:r w:rsidRPr="00AC0201">
        <w:t xml:space="preserve">BOURN, D. (2008) </w:t>
      </w:r>
      <w:r w:rsidRPr="00AC0201">
        <w:rPr>
          <w:i/>
        </w:rPr>
        <w:t>Global Skills.</w:t>
      </w:r>
      <w:r w:rsidRPr="00AC0201">
        <w:t xml:space="preserve"> London: Learning and Skills Improvement Service.</w:t>
      </w:r>
    </w:p>
    <w:p w14:paraId="667F2A61" w14:textId="77777777" w:rsidR="0076458F" w:rsidRPr="00AC0201" w:rsidRDefault="0076458F" w:rsidP="0076458F">
      <w:pPr>
        <w:pStyle w:val="Bibliography"/>
      </w:pPr>
      <w:r w:rsidRPr="00AC0201">
        <w:t xml:space="preserve">BOURN, D. (2015) </w:t>
      </w:r>
      <w:r w:rsidRPr="00AC0201">
        <w:rPr>
          <w:i/>
        </w:rPr>
        <w:t>The theory and Practice of Development Education: A pedagogy for global social justice.</w:t>
      </w:r>
      <w:r w:rsidRPr="00AC0201">
        <w:t xml:space="preserve"> Oxon: Routledge. </w:t>
      </w:r>
    </w:p>
    <w:p w14:paraId="3789AF55" w14:textId="77777777" w:rsidR="0076458F" w:rsidRPr="00AC0201" w:rsidRDefault="0076458F" w:rsidP="0076458F">
      <w:pPr>
        <w:pStyle w:val="Bibliography"/>
      </w:pPr>
      <w:r w:rsidRPr="00AC0201">
        <w:t xml:space="preserve">BROWN, P., LAUDER, H. and ASHTON, D. (2007) Education, Globalisation and the Future of the Knowledge Economy. </w:t>
      </w:r>
      <w:r w:rsidRPr="00AC0201">
        <w:rPr>
          <w:i/>
        </w:rPr>
        <w:t>European Educational Research Journal,</w:t>
      </w:r>
      <w:r w:rsidRPr="00AC0201">
        <w:t xml:space="preserve"> 7 (2), pp. 131 – 156. </w:t>
      </w:r>
    </w:p>
    <w:p w14:paraId="38183435" w14:textId="77777777" w:rsidR="0076458F" w:rsidRPr="00AC0201" w:rsidRDefault="0076458F" w:rsidP="0076458F">
      <w:pPr>
        <w:pStyle w:val="Bibliography"/>
      </w:pPr>
      <w:r w:rsidRPr="00AC0201">
        <w:t>CEEFS – see Citizenship Education in England, France and Scotland: A Compar</w:t>
      </w:r>
      <w:r w:rsidRPr="00AC0201">
        <w:t>a</w:t>
      </w:r>
      <w:r w:rsidRPr="00AC0201">
        <w:t>tive Study (2008). Ministère de l’éducation Nationale, The Scottish government, Department for children, schools and families. Available from: http://media.education.gouv.fr/file/europe_et_international_2/50/2/Rapport_education_a_la_citoyennete_-_VA_28502.pdf [Accessed 01/04/15].</w:t>
      </w:r>
    </w:p>
    <w:p w14:paraId="1397B76A" w14:textId="77777777" w:rsidR="0076458F" w:rsidRPr="00AC0201" w:rsidRDefault="0076458F" w:rsidP="0076458F">
      <w:pPr>
        <w:pStyle w:val="Bibliography"/>
      </w:pPr>
      <w:r w:rsidRPr="00AC0201">
        <w:t xml:space="preserve">CLARK, A. (2010) </w:t>
      </w:r>
      <w:r w:rsidRPr="00AC0201">
        <w:rPr>
          <w:i/>
        </w:rPr>
        <w:t>The ABCs of Human Survival.</w:t>
      </w:r>
      <w:r w:rsidRPr="00AC0201">
        <w:t xml:space="preserve"> Edmonton: Athabasca University</w:t>
      </w:r>
    </w:p>
    <w:p w14:paraId="3E640F09" w14:textId="22E766DF" w:rsidR="0076458F" w:rsidRPr="00AC0201" w:rsidRDefault="00B9797F" w:rsidP="0076458F">
      <w:pPr>
        <w:pStyle w:val="Bibliography"/>
      </w:pPr>
      <w:r w:rsidRPr="00AC0201">
        <w:t xml:space="preserve">CRIMINAL JUSTICE (SCOTLAND) ACT </w:t>
      </w:r>
      <w:r w:rsidR="0076458F" w:rsidRPr="00AC0201">
        <w:t>1980 (c. 62). London: The Stationary Office.</w:t>
      </w:r>
    </w:p>
    <w:p w14:paraId="1FA1A895" w14:textId="77777777" w:rsidR="0076458F" w:rsidRPr="00AC0201" w:rsidRDefault="0076458F" w:rsidP="0076458F">
      <w:pPr>
        <w:pStyle w:val="Bibliography"/>
      </w:pPr>
      <w:r w:rsidRPr="00AC0201">
        <w:t xml:space="preserve">DEEEP Project (2011) </w:t>
      </w:r>
      <w:r w:rsidRPr="00AC0201">
        <w:rPr>
          <w:i/>
        </w:rPr>
        <w:t>Vanessa Andreotti speech - European Parliament public hearing on Development Education.</w:t>
      </w:r>
      <w:r w:rsidRPr="00AC0201">
        <w:t xml:space="preserve"> [Online film] Available from https://www.youtube.com/watch?v=FR-VSmrZ-UE [Accessed 11/04/15].</w:t>
      </w:r>
    </w:p>
    <w:p w14:paraId="17CD2D94" w14:textId="77777777" w:rsidR="0076458F" w:rsidRPr="00AC0201" w:rsidRDefault="0076458F" w:rsidP="0076458F">
      <w:pPr>
        <w:pStyle w:val="Bibliography"/>
      </w:pPr>
      <w:r w:rsidRPr="00AC0201">
        <w:t>DE WATCH – see European Multi-Stakeholder Steering Group on Development Education (2010) DE Watch Report. Brussels: DEEEP. </w:t>
      </w:r>
    </w:p>
    <w:p w14:paraId="355A4B40" w14:textId="77777777" w:rsidR="0076458F" w:rsidRPr="00AC0201" w:rsidRDefault="0076458F" w:rsidP="0076458F">
      <w:pPr>
        <w:pStyle w:val="Bibliography"/>
      </w:pPr>
      <w:r w:rsidRPr="00AC0201">
        <w:t xml:space="preserve">DOWER, N. (2003) </w:t>
      </w:r>
      <w:r w:rsidRPr="00AC0201">
        <w:rPr>
          <w:i/>
        </w:rPr>
        <w:t>An Introduction to Global Citizenship</w:t>
      </w:r>
      <w:r w:rsidRPr="00AC0201">
        <w:t>. Edinburgh: Edinburgh Un</w:t>
      </w:r>
      <w:r w:rsidRPr="00AC0201">
        <w:t>i</w:t>
      </w:r>
      <w:r w:rsidRPr="00AC0201">
        <w:t>versity Press.</w:t>
      </w:r>
    </w:p>
    <w:p w14:paraId="6405B0D6" w14:textId="77777777" w:rsidR="0076458F" w:rsidRPr="00AC0201" w:rsidRDefault="0076458F" w:rsidP="0076458F">
      <w:pPr>
        <w:pStyle w:val="Bibliography"/>
      </w:pPr>
      <w:r w:rsidRPr="00AC0201">
        <w:t>GARDNER-MC TAGGART, A. (2014) International elite, or global citizens? Equ</w:t>
      </w:r>
      <w:r w:rsidRPr="00AC0201">
        <w:t>i</w:t>
      </w:r>
      <w:r w:rsidRPr="00AC0201">
        <w:t xml:space="preserve">ty, distinction and power: the international Baccalaureate and the rise of South. </w:t>
      </w:r>
      <w:r w:rsidRPr="00AC0201">
        <w:rPr>
          <w:i/>
        </w:rPr>
        <w:t>Globalisation, Societies and Education,</w:t>
      </w:r>
      <w:r w:rsidRPr="00AC0201">
        <w:t xml:space="preserve"> pp. 1 – 29. [published online] Available from: http://www.tandfonline.com.libproxy.ucl.ac.uk/doi/pdf/10.1080/14767724.2014.959475 [Accessed 06/04/15].</w:t>
      </w:r>
    </w:p>
    <w:p w14:paraId="495DF2BC" w14:textId="77777777" w:rsidR="0076458F" w:rsidRDefault="0076458F" w:rsidP="0076458F">
      <w:pPr>
        <w:pStyle w:val="Bibliography"/>
      </w:pPr>
      <w:r w:rsidRPr="00AC0201">
        <w:t>GEORGE, J. and LEWIS, T (2011) Exploring the global/local boundary in educ</w:t>
      </w:r>
      <w:r w:rsidRPr="00AC0201">
        <w:t>a</w:t>
      </w:r>
      <w:r w:rsidRPr="00AC0201">
        <w:t xml:space="preserve">tion in developing countries: the case of the Caribbean. </w:t>
      </w:r>
      <w:r w:rsidRPr="00AC0201">
        <w:rPr>
          <w:i/>
        </w:rPr>
        <w:t xml:space="preserve">Compare: A Journal of Comparative and International Education, </w:t>
      </w:r>
      <w:r w:rsidRPr="00AC0201">
        <w:t>41 (6), pp. 721 – 734.</w:t>
      </w:r>
    </w:p>
    <w:p w14:paraId="3435ECD7" w14:textId="77777777" w:rsidR="0076458F" w:rsidRPr="00AC0201" w:rsidRDefault="0076458F" w:rsidP="0076458F">
      <w:pPr>
        <w:pStyle w:val="Bibliography"/>
      </w:pPr>
      <w:r w:rsidRPr="00AC0201">
        <w:t xml:space="preserve">GIROUX, H (1991) Beyond the Ethics of Flag Waving: Schooling and Citizenship for a Critical Democracy. </w:t>
      </w:r>
      <w:r w:rsidRPr="00AC0201">
        <w:rPr>
          <w:i/>
        </w:rPr>
        <w:t>Values Education</w:t>
      </w:r>
      <w:r w:rsidRPr="00AC0201">
        <w:t>, 64 (5), pp. 305 – 308.</w:t>
      </w:r>
    </w:p>
    <w:p w14:paraId="13CBC614" w14:textId="77777777" w:rsidR="0076458F" w:rsidRPr="00AC0201" w:rsidRDefault="0076458F" w:rsidP="0076458F">
      <w:pPr>
        <w:pStyle w:val="Bibliography"/>
      </w:pPr>
      <w:r w:rsidRPr="00AC0201">
        <w:t xml:space="preserve">HART, W.A. (1978) Again Skills. </w:t>
      </w:r>
      <w:r w:rsidRPr="00AC0201">
        <w:rPr>
          <w:i/>
        </w:rPr>
        <w:t>Oxford Review of Education,</w:t>
      </w:r>
      <w:r w:rsidRPr="00AC0201">
        <w:t xml:space="preserve"> 4 (2), pp. 205 – 216.</w:t>
      </w:r>
    </w:p>
    <w:p w14:paraId="0B7ABC2B" w14:textId="77777777" w:rsidR="0076458F" w:rsidRPr="00AC0201" w:rsidRDefault="0076458F" w:rsidP="0076458F">
      <w:pPr>
        <w:pStyle w:val="Bibliography"/>
      </w:pPr>
      <w:r w:rsidRPr="00AC0201">
        <w:t xml:space="preserve">HOLLANDE, F. (2015) Interview. In: </w:t>
      </w:r>
      <w:r w:rsidRPr="00AC0201">
        <w:rPr>
          <w:i/>
        </w:rPr>
        <w:t>LE 7/9</w:t>
      </w:r>
      <w:r w:rsidRPr="00AC0201">
        <w:t>. [Radio] France Inter. 5</w:t>
      </w:r>
      <w:r w:rsidRPr="00AC0201">
        <w:rPr>
          <w:vertAlign w:val="superscript"/>
        </w:rPr>
        <w:t>th</w:t>
      </w:r>
      <w:r w:rsidRPr="00AC0201">
        <w:t xml:space="preserve"> January, 0700 hrs. Available from: http://www.franceinter.fr/emission-le-79-edition-speciale-avec-francois-hollande [Accessed 28/03/2015].</w:t>
      </w:r>
    </w:p>
    <w:p w14:paraId="7E917B5C" w14:textId="77777777" w:rsidR="0076458F" w:rsidRPr="00AC0201" w:rsidRDefault="0076458F" w:rsidP="0076458F">
      <w:pPr>
        <w:pStyle w:val="Bibliography"/>
      </w:pPr>
      <w:r w:rsidRPr="00AC0201">
        <w:t xml:space="preserve">JOHNSON, L. and MORRIS, P. (2012) Critical citizenship education in England and France: a comparative analysis. </w:t>
      </w:r>
      <w:r w:rsidRPr="00AC0201">
        <w:rPr>
          <w:i/>
        </w:rPr>
        <w:t>Comparative Education</w:t>
      </w:r>
      <w:r w:rsidRPr="00AC0201">
        <w:t>, 48 (3), pp. 283 – 301.</w:t>
      </w:r>
    </w:p>
    <w:p w14:paraId="2E366C0A" w14:textId="77777777" w:rsidR="0076458F" w:rsidRPr="00AC0201" w:rsidRDefault="0076458F" w:rsidP="0076458F">
      <w:pPr>
        <w:pStyle w:val="Bibliography"/>
      </w:pPr>
      <w:r w:rsidRPr="00AC0201">
        <w:t xml:space="preserve">KAIVOLA, T. and MELÉN-PAASO, M. (2007) </w:t>
      </w:r>
      <w:r w:rsidRPr="00AC0201">
        <w:rPr>
          <w:i/>
        </w:rPr>
        <w:t xml:space="preserve">Education for Global Responsibility – Finish Perspectives. </w:t>
      </w:r>
      <w:r w:rsidRPr="00AC0201">
        <w:t xml:space="preserve">Helsinki: Ministry of Education 2007:31. </w:t>
      </w:r>
    </w:p>
    <w:p w14:paraId="78DB7998" w14:textId="77777777" w:rsidR="0076458F" w:rsidRPr="00AC0201" w:rsidRDefault="0076458F" w:rsidP="0076458F">
      <w:pPr>
        <w:pStyle w:val="Bibliography"/>
      </w:pPr>
      <w:r w:rsidRPr="00AC0201">
        <w:t xml:space="preserve">KEATING, A. (2009) Educating Europe’s Citizens: moving from national to post-national models of educating for European citizenship. </w:t>
      </w:r>
      <w:r w:rsidRPr="00AC0201">
        <w:rPr>
          <w:i/>
        </w:rPr>
        <w:t>Citizenship Studies</w:t>
      </w:r>
      <w:r w:rsidRPr="00AC0201">
        <w:t>, 13 (2), pp. 135 – 151.</w:t>
      </w:r>
    </w:p>
    <w:p w14:paraId="16D4C4BE" w14:textId="77777777" w:rsidR="0076458F" w:rsidRPr="00AC0201" w:rsidRDefault="0076458F" w:rsidP="0076458F">
      <w:pPr>
        <w:pStyle w:val="Bibliography"/>
      </w:pPr>
      <w:r w:rsidRPr="00AC0201">
        <w:t xml:space="preserve">KILLICK, D. (2011) Internationalising the University: Enabling selves-in-the-world. In: PREISLER, B., KLITGÅRD, I. and FABRICIUS, H. (eds.) </w:t>
      </w:r>
      <w:r w:rsidRPr="00AC0201">
        <w:rPr>
          <w:i/>
        </w:rPr>
        <w:t>Language and Learning in the International University: From English Uniformity to Diversity and Hybrid</w:t>
      </w:r>
      <w:r w:rsidRPr="00AC0201">
        <w:rPr>
          <w:i/>
        </w:rPr>
        <w:t>i</w:t>
      </w:r>
      <w:r w:rsidRPr="00AC0201">
        <w:rPr>
          <w:i/>
        </w:rPr>
        <w:t xml:space="preserve">ty. </w:t>
      </w:r>
      <w:r w:rsidRPr="00AC0201">
        <w:t>Bristol: Multilingual Matters, pp. 76 – 95.</w:t>
      </w:r>
    </w:p>
    <w:p w14:paraId="7B8C5EB3" w14:textId="77777777" w:rsidR="0076458F" w:rsidRPr="00AC0201" w:rsidRDefault="0076458F" w:rsidP="0076458F">
      <w:pPr>
        <w:pStyle w:val="Bibliography"/>
      </w:pPr>
      <w:r w:rsidRPr="00AC0201">
        <w:t>KILLICK, D. (2015</w:t>
      </w:r>
      <w:r w:rsidRPr="00AC0201">
        <w:rPr>
          <w:i/>
        </w:rPr>
        <w:t>) Developing the Global Student</w:t>
      </w:r>
      <w:r w:rsidRPr="00AC0201">
        <w:t>. Oxon: Routledge.</w:t>
      </w:r>
    </w:p>
    <w:p w14:paraId="5319E346" w14:textId="77777777" w:rsidR="0076458F" w:rsidRPr="00AC0201" w:rsidRDefault="0076458F" w:rsidP="0076458F">
      <w:pPr>
        <w:pStyle w:val="Bibliography"/>
      </w:pPr>
      <w:r w:rsidRPr="00AC0201">
        <w:t xml:space="preserve">KING, K. and PALMER, R. (2008) The changing global context for skills goal in the 21stcentury: drivers and meanings. </w:t>
      </w:r>
      <w:r w:rsidRPr="00AC0201">
        <w:rPr>
          <w:i/>
        </w:rPr>
        <w:t>Skills for Work, Growth and Poverty Reduction: Challenges and Opportunities in the Global Analysis and Monitoring of Skills</w:t>
      </w:r>
      <w:r w:rsidRPr="00AC0201">
        <w:t>, London: UK National Commission for UNESCO, pp. 18 – 25.</w:t>
      </w:r>
    </w:p>
    <w:p w14:paraId="2330E426" w14:textId="77777777" w:rsidR="0076458F" w:rsidRPr="00AC0201" w:rsidRDefault="0076458F" w:rsidP="0076458F">
      <w:pPr>
        <w:pStyle w:val="Bibliography"/>
      </w:pPr>
      <w:r w:rsidRPr="00AC0201">
        <w:t xml:space="preserve">LANG-WOJTASIK, G. (2014) World Society and the Human Being. </w:t>
      </w:r>
      <w:r w:rsidRPr="00574E65">
        <w:rPr>
          <w:i/>
        </w:rPr>
        <w:t>International Journal of Development Education and Global Learning,</w:t>
      </w:r>
      <w:r w:rsidRPr="00AC0201">
        <w:t xml:space="preserve"> 6 (1), pp. 53 – 74.</w:t>
      </w:r>
    </w:p>
    <w:p w14:paraId="25AD58FA" w14:textId="77777777" w:rsidR="0076458F" w:rsidRPr="00AC0201" w:rsidRDefault="0076458F" w:rsidP="0076458F">
      <w:pPr>
        <w:pStyle w:val="Bibliography"/>
      </w:pPr>
      <w:r w:rsidRPr="00AC0201">
        <w:t xml:space="preserve">LEVINSON, M. and HOOLEY, N. (2014) Supporting the learning of nomadic communities across transnational contexts: exploring parallels in the education of UK Roma Gypsies and Indigenous Australians. </w:t>
      </w:r>
      <w:r w:rsidRPr="00574E65">
        <w:rPr>
          <w:i/>
        </w:rPr>
        <w:t>Research Papers in Education</w:t>
      </w:r>
      <w:r w:rsidRPr="00AC0201">
        <w:t xml:space="preserve">, 29 (4), pp. 373 – 389. </w:t>
      </w:r>
    </w:p>
    <w:p w14:paraId="063B3A21" w14:textId="353B2F33" w:rsidR="0076458F" w:rsidRPr="00AC0201" w:rsidRDefault="0076458F" w:rsidP="0076458F">
      <w:pPr>
        <w:pStyle w:val="Bibliography"/>
      </w:pPr>
      <w:r w:rsidRPr="00AC0201">
        <w:t xml:space="preserve">MARSHALL, H. (2009) Educating the European citizen in the global age: engaging with the post-national and identifying a research agenda. </w:t>
      </w:r>
      <w:r w:rsidRPr="00574E65">
        <w:rPr>
          <w:i/>
        </w:rPr>
        <w:t>Journal of Curriculum Stu</w:t>
      </w:r>
      <w:r w:rsidRPr="00574E65">
        <w:rPr>
          <w:i/>
        </w:rPr>
        <w:t>d</w:t>
      </w:r>
      <w:r w:rsidRPr="00574E65">
        <w:rPr>
          <w:i/>
        </w:rPr>
        <w:t>ies</w:t>
      </w:r>
      <w:r w:rsidR="00574E65">
        <w:t>,</w:t>
      </w:r>
      <w:r w:rsidRPr="00574E65">
        <w:t xml:space="preserve"> </w:t>
      </w:r>
      <w:r w:rsidRPr="00AC0201">
        <w:t>41(2), pp. 247 – 267.</w:t>
      </w:r>
    </w:p>
    <w:p w14:paraId="2931A628" w14:textId="77777777" w:rsidR="0076458F" w:rsidRPr="00AC0201" w:rsidRDefault="0076458F" w:rsidP="0076458F">
      <w:pPr>
        <w:pStyle w:val="Bibliography"/>
      </w:pPr>
      <w:r w:rsidRPr="00AC0201">
        <w:t xml:space="preserve">MASTERMAN, L. (1985) </w:t>
      </w:r>
      <w:r w:rsidRPr="00AC0201">
        <w:rPr>
          <w:i/>
        </w:rPr>
        <w:t>Teaching the Media.</w:t>
      </w:r>
      <w:r w:rsidRPr="00AC0201">
        <w:t xml:space="preserve"> Oxon: Routledge.</w:t>
      </w:r>
    </w:p>
    <w:p w14:paraId="70C01FC6" w14:textId="77777777" w:rsidR="0076458F" w:rsidRPr="00AC0201" w:rsidRDefault="0076458F" w:rsidP="0076458F">
      <w:pPr>
        <w:pStyle w:val="Bibliography"/>
      </w:pPr>
      <w:r w:rsidRPr="00AC0201">
        <w:t xml:space="preserve">MÉRIEUX, P. (2013) Richesses et limites de la notion de competence en education. [Video lecture] </w:t>
      </w:r>
      <w:r w:rsidRPr="00AC0201">
        <w:rPr>
          <w:i/>
        </w:rPr>
        <w:t xml:space="preserve">Institut Coopératif de l’École Moderne – Pédagogie Freinet. </w:t>
      </w:r>
      <w:r w:rsidRPr="00AC0201">
        <w:t>Available from http://www.icem-pedagogie-freinet.org/node/35596 [Accessed 10/04/15].</w:t>
      </w:r>
    </w:p>
    <w:p w14:paraId="158FE791" w14:textId="77777777" w:rsidR="0076458F" w:rsidRPr="00AC0201" w:rsidRDefault="0076458F" w:rsidP="0076458F">
      <w:pPr>
        <w:pStyle w:val="Bibliography"/>
        <w:rPr>
          <w:sz w:val="22"/>
          <w:szCs w:val="22"/>
          <w:lang w:val="fr-FR" w:eastAsia="ja-JP"/>
        </w:rPr>
      </w:pPr>
      <w:r w:rsidRPr="00AC0201">
        <w:rPr>
          <w:sz w:val="22"/>
          <w:szCs w:val="22"/>
          <w:lang w:val="fr-FR" w:eastAsia="ja-JP"/>
        </w:rPr>
        <w:t xml:space="preserve">MIGUEL SIERRA, A., GREGA, P. and AMERYCKX, I. (2012) </w:t>
      </w:r>
      <w:r w:rsidRPr="00AC0201">
        <w:rPr>
          <w:i/>
          <w:iCs/>
          <w:sz w:val="22"/>
          <w:szCs w:val="22"/>
          <w:lang w:val="fr-FR" w:eastAsia="ja-JP"/>
        </w:rPr>
        <w:t>Cartographie de l’Education au Développement et à la Solidarité Internationale: Etude des projets cofinancés entre 2001 et 2011 par le Ministère des Affaires étrangères et l’Agence française de développement</w:t>
      </w:r>
      <w:r w:rsidRPr="00AC0201">
        <w:rPr>
          <w:sz w:val="22"/>
          <w:szCs w:val="22"/>
          <w:lang w:val="fr-FR" w:eastAsia="ja-JP"/>
        </w:rPr>
        <w:t>. Agence Française de Développement.</w:t>
      </w:r>
    </w:p>
    <w:p w14:paraId="4CB36A3C" w14:textId="77777777" w:rsidR="0076458F" w:rsidRPr="00AC0201" w:rsidRDefault="0076458F" w:rsidP="0076458F">
      <w:pPr>
        <w:pStyle w:val="Bibliography"/>
      </w:pPr>
      <w:r w:rsidRPr="00AC0201">
        <w:t xml:space="preserve">MORAES, S.E. (2014) Global Citizenship as a Floating Signifier. </w:t>
      </w:r>
      <w:r w:rsidRPr="00AC0201">
        <w:rPr>
          <w:i/>
        </w:rPr>
        <w:t>International Journal of development Education and Global Learning</w:t>
      </w:r>
      <w:r w:rsidRPr="00AC0201">
        <w:t xml:space="preserve">, 6(2), pp. 27 – 42. </w:t>
      </w:r>
    </w:p>
    <w:p w14:paraId="19FF615B" w14:textId="77777777" w:rsidR="0076458F" w:rsidRPr="00AC0201" w:rsidRDefault="0076458F" w:rsidP="0076458F">
      <w:pPr>
        <w:pStyle w:val="Bibliography"/>
      </w:pPr>
      <w:r w:rsidRPr="00AC0201">
        <w:t>OSLER, A. and STARKEY, H. (2003) Learning for Cosmopolitan Citizenship: th</w:t>
      </w:r>
      <w:r w:rsidRPr="00AC0201">
        <w:t>e</w:t>
      </w:r>
      <w:r w:rsidRPr="00AC0201">
        <w:t xml:space="preserve">oretical debates and young people’ experiences. </w:t>
      </w:r>
      <w:r w:rsidRPr="00AC0201">
        <w:rPr>
          <w:i/>
        </w:rPr>
        <w:t>Educational Review</w:t>
      </w:r>
      <w:r w:rsidRPr="00AC0201">
        <w:t>, 55(3), pp. 243 – 254.</w:t>
      </w:r>
    </w:p>
    <w:p w14:paraId="7546A690" w14:textId="77777777" w:rsidR="0076458F" w:rsidRPr="00AC0201" w:rsidRDefault="0076458F" w:rsidP="0076458F">
      <w:pPr>
        <w:pStyle w:val="Bibliography"/>
      </w:pPr>
      <w:r w:rsidRPr="00AC0201">
        <w:t>OSLER, A. and STARKEY, H. (2010) Citizenship Education and National Ident</w:t>
      </w:r>
      <w:r w:rsidRPr="00AC0201">
        <w:t>i</w:t>
      </w:r>
      <w:r w:rsidRPr="00AC0201">
        <w:t xml:space="preserve">ties in France and England: Inclusive or exclusive? </w:t>
      </w:r>
      <w:r w:rsidRPr="00AC0201">
        <w:rPr>
          <w:i/>
        </w:rPr>
        <w:t>Oxford Review of Education</w:t>
      </w:r>
      <w:r w:rsidRPr="00AC0201">
        <w:t>, 27 (2), pp. 287 – 305.</w:t>
      </w:r>
    </w:p>
    <w:p w14:paraId="3270DF98" w14:textId="77777777" w:rsidR="0076458F" w:rsidRPr="00AC0201" w:rsidRDefault="0076458F" w:rsidP="0076458F">
      <w:pPr>
        <w:pStyle w:val="Bibliography"/>
      </w:pPr>
      <w:r w:rsidRPr="00AC0201">
        <w:t>OXLEY, L. and MORRIS, P. (2013) Global Citizenship: a Typology for distinguis</w:t>
      </w:r>
      <w:r w:rsidRPr="00AC0201">
        <w:t>h</w:t>
      </w:r>
      <w:r w:rsidRPr="00AC0201">
        <w:t xml:space="preserve">ing its multiple conceptions. </w:t>
      </w:r>
      <w:r w:rsidRPr="00AC0201">
        <w:rPr>
          <w:i/>
        </w:rPr>
        <w:t>British Journal of Educational Studies</w:t>
      </w:r>
      <w:r w:rsidRPr="00AC0201">
        <w:t>, 61 (3), pp. 301 – 325.</w:t>
      </w:r>
    </w:p>
    <w:p w14:paraId="2F3E98AC" w14:textId="77777777" w:rsidR="0076458F" w:rsidRPr="00AC0201" w:rsidRDefault="0076458F" w:rsidP="0076458F">
      <w:pPr>
        <w:pStyle w:val="Bibliography"/>
      </w:pPr>
      <w:r w:rsidRPr="00AC0201">
        <w:t xml:space="preserve">PAREKH, B. (2003) Cosmopolitanism and global citizenship. </w:t>
      </w:r>
      <w:r w:rsidRPr="00AC0201">
        <w:rPr>
          <w:i/>
        </w:rPr>
        <w:t>Review of International Studies</w:t>
      </w:r>
      <w:r w:rsidRPr="00AC0201">
        <w:t xml:space="preserve">, 29, pp. 3 – 17. </w:t>
      </w:r>
    </w:p>
    <w:p w14:paraId="0F73B8C8" w14:textId="77777777" w:rsidR="0076458F" w:rsidRPr="00AC0201" w:rsidRDefault="0076458F" w:rsidP="0076458F">
      <w:pPr>
        <w:pStyle w:val="Bibliography"/>
      </w:pPr>
      <w:r w:rsidRPr="00AC0201">
        <w:t xml:space="preserve">PASHBY, K. (2012) Questions for Global Citizenship: Education in the Context of ‘New Imperialism’. In: ANDREOTTI, V. &amp; SOUZA, L.M. (eds.) </w:t>
      </w:r>
      <w:r w:rsidRPr="00AC0201">
        <w:rPr>
          <w:i/>
        </w:rPr>
        <w:t>Postcolonial Pe</w:t>
      </w:r>
      <w:r w:rsidRPr="00AC0201">
        <w:rPr>
          <w:i/>
        </w:rPr>
        <w:t>r</w:t>
      </w:r>
      <w:r w:rsidRPr="00AC0201">
        <w:rPr>
          <w:i/>
        </w:rPr>
        <w:t>spectives on Global Citizenship Education.</w:t>
      </w:r>
      <w:r w:rsidRPr="00AC0201">
        <w:t xml:space="preserve"> Oxon: Routledge, pp. 9 – 26. </w:t>
      </w:r>
    </w:p>
    <w:p w14:paraId="2B31EA82" w14:textId="77777777" w:rsidR="00B9797F" w:rsidRDefault="0076458F" w:rsidP="00B9797F">
      <w:pPr>
        <w:pStyle w:val="Bibliography"/>
      </w:pPr>
      <w:r w:rsidRPr="00AC0201">
        <w:t>PERRENOUX, P. (1995) Des savoirs aux competences: de quoi parle-t-on en pa</w:t>
      </w:r>
      <w:r w:rsidRPr="00AC0201">
        <w:t>r</w:t>
      </w:r>
      <w:r w:rsidRPr="00AC0201">
        <w:t xml:space="preserve">lant de compétences? </w:t>
      </w:r>
      <w:r w:rsidRPr="00AC0201">
        <w:rPr>
          <w:i/>
        </w:rPr>
        <w:t>Pédagogie Collégiale</w:t>
      </w:r>
      <w:r w:rsidRPr="00AC0201">
        <w:t xml:space="preserve">, 9 (1), pp. 20 – 24. </w:t>
      </w:r>
    </w:p>
    <w:p w14:paraId="6F97AAB0" w14:textId="77777777" w:rsidR="00B9797F" w:rsidRDefault="0076458F" w:rsidP="00B9797F">
      <w:pPr>
        <w:pStyle w:val="Bibliography"/>
      </w:pPr>
      <w:r w:rsidRPr="00AC0201">
        <w:t xml:space="preserve">PIKE, G. (2008) Citizenship Education in Global Context. </w:t>
      </w:r>
      <w:r w:rsidRPr="00AC0201">
        <w:rPr>
          <w:i/>
        </w:rPr>
        <w:t>Brock Education: A Journal of Educational Research &amp; Practice</w:t>
      </w:r>
      <w:r w:rsidRPr="00AC0201">
        <w:t>, 17 (1), pp. 38 – 49.</w:t>
      </w:r>
      <w:r w:rsidRPr="00BA0A27">
        <w:t xml:space="preserve"> </w:t>
      </w:r>
    </w:p>
    <w:p w14:paraId="018ED861" w14:textId="77777777" w:rsidR="00B9797F" w:rsidRDefault="0076458F" w:rsidP="00B9797F">
      <w:pPr>
        <w:pStyle w:val="Bibliography"/>
      </w:pPr>
      <w:r>
        <w:t xml:space="preserve">RIZVI, F. (2005) </w:t>
      </w:r>
      <w:r w:rsidRPr="00461D28">
        <w:rPr>
          <w:i/>
        </w:rPr>
        <w:t>International education and the production of cosmopolitan identities</w:t>
      </w:r>
      <w:r>
        <w:t xml:space="preserve">. </w:t>
      </w:r>
      <w:r w:rsidRPr="00461D28">
        <w:t>R</w:t>
      </w:r>
      <w:r>
        <w:t xml:space="preserve">IHE International Publication 9, pp. 77 – </w:t>
      </w:r>
      <w:r w:rsidRPr="00461D28">
        <w:t>92</w:t>
      </w:r>
      <w:r w:rsidR="00B9797F">
        <w:t>.</w:t>
      </w:r>
    </w:p>
    <w:p w14:paraId="299F8913" w14:textId="600FC127" w:rsidR="0076458F" w:rsidRPr="00BA0A27" w:rsidRDefault="0076458F" w:rsidP="00B9797F">
      <w:pPr>
        <w:pStyle w:val="Bibliography"/>
      </w:pPr>
      <w:r w:rsidRPr="00AC0201">
        <w:t xml:space="preserve">SALT, B. (2008) </w:t>
      </w:r>
      <w:r w:rsidRPr="00AC0201">
        <w:rPr>
          <w:i/>
        </w:rPr>
        <w:t>The Global Skills Convergence Issues and ideas for the management of an i</w:t>
      </w:r>
      <w:r w:rsidRPr="00AC0201">
        <w:rPr>
          <w:i/>
        </w:rPr>
        <w:t>n</w:t>
      </w:r>
      <w:r w:rsidRPr="00AC0201">
        <w:rPr>
          <w:i/>
        </w:rPr>
        <w:t>ternational workforce.</w:t>
      </w:r>
      <w:r w:rsidRPr="00AC0201">
        <w:t xml:space="preserve"> KPMG International.</w:t>
      </w:r>
    </w:p>
    <w:p w14:paraId="685A67DB" w14:textId="77777777" w:rsidR="0076458F" w:rsidRPr="00AC0201" w:rsidRDefault="0076458F" w:rsidP="0076458F">
      <w:pPr>
        <w:pStyle w:val="Bibliography"/>
      </w:pPr>
      <w:r w:rsidRPr="00AC0201">
        <w:t xml:space="preserve">SANTOS, B. de S. (2002) Toward a Multicultural Conception of Human Rights. In: HERNÁNDEZ-TROYUL, B. (eds.) </w:t>
      </w:r>
      <w:r w:rsidRPr="00AC0201">
        <w:rPr>
          <w:i/>
        </w:rPr>
        <w:t xml:space="preserve">Moral Imperialism. A Critical Anthology. </w:t>
      </w:r>
      <w:r w:rsidRPr="00AC0201">
        <w:t>New York: New York University Press, pp. 39 – 60.</w:t>
      </w:r>
    </w:p>
    <w:p w14:paraId="6F4F211C" w14:textId="77777777" w:rsidR="0076458F" w:rsidRPr="00AC0201" w:rsidRDefault="0076458F" w:rsidP="0076458F">
      <w:pPr>
        <w:pStyle w:val="Bibliography"/>
      </w:pPr>
      <w:r w:rsidRPr="00AC0201">
        <w:t>SCHEUNPFLUG, A. (2008) Why global learning and global education? An educ</w:t>
      </w:r>
      <w:r w:rsidRPr="00AC0201">
        <w:t>a</w:t>
      </w:r>
      <w:r w:rsidRPr="00AC0201">
        <w:t xml:space="preserve">tional approach influenced by the perspectives of Immanuel Kant. In: BOURN, D. (eds.) </w:t>
      </w:r>
      <w:r w:rsidRPr="00AC0201">
        <w:rPr>
          <w:i/>
        </w:rPr>
        <w:t>Development Education: Debates and Dialogues</w:t>
      </w:r>
      <w:r w:rsidRPr="00AC0201">
        <w:t>. London: Institute of Educ</w:t>
      </w:r>
      <w:r w:rsidRPr="00AC0201">
        <w:t>a</w:t>
      </w:r>
      <w:r w:rsidRPr="00AC0201">
        <w:t>tion University of London, pp. 18 – 27.</w:t>
      </w:r>
    </w:p>
    <w:p w14:paraId="49B6263C" w14:textId="77777777" w:rsidR="0076458F" w:rsidRPr="00AC0201" w:rsidRDefault="0076458F" w:rsidP="0076458F">
      <w:pPr>
        <w:pStyle w:val="Bibliography"/>
      </w:pPr>
      <w:r w:rsidRPr="00AC0201">
        <w:t>SCHEUNPFLUG, A. (2011) Global education and cross-cultural learning: A cha</w:t>
      </w:r>
      <w:r w:rsidRPr="00AC0201">
        <w:t>l</w:t>
      </w:r>
      <w:r w:rsidRPr="00AC0201">
        <w:t xml:space="preserve">lenge for a research- based approach to international teacher education. </w:t>
      </w:r>
      <w:r w:rsidRPr="00AC0201">
        <w:rPr>
          <w:i/>
        </w:rPr>
        <w:t>Intern</w:t>
      </w:r>
      <w:r w:rsidRPr="00AC0201">
        <w:rPr>
          <w:i/>
        </w:rPr>
        <w:t>a</w:t>
      </w:r>
      <w:r w:rsidRPr="00AC0201">
        <w:rPr>
          <w:i/>
        </w:rPr>
        <w:t>tional Journal of Development Education and Global Learning</w:t>
      </w:r>
      <w:r w:rsidRPr="00AC0201">
        <w:t>, 3(3), pp. 29 – 44.</w:t>
      </w:r>
    </w:p>
    <w:p w14:paraId="6BE59766" w14:textId="77777777" w:rsidR="0076458F" w:rsidRPr="00B9797F" w:rsidRDefault="0076458F" w:rsidP="0076458F">
      <w:pPr>
        <w:pStyle w:val="Bibliography"/>
        <w:rPr>
          <w:lang w:eastAsia="ja-JP"/>
        </w:rPr>
      </w:pPr>
      <w:r w:rsidRPr="00B9797F">
        <w:rPr>
          <w:lang w:eastAsia="ja-JP"/>
        </w:rPr>
        <w:t xml:space="preserve">SCHUGURENSKY, D. and MADJIDI, K. (2008) ‘Reinventing Freire: Exceptional Cases of Citizenship Education in Brazil’ in Arthur, J., Davies, I. and Hahn, C. (eds.) </w:t>
      </w:r>
      <w:r w:rsidRPr="00B9797F">
        <w:rPr>
          <w:i/>
          <w:iCs/>
          <w:lang w:eastAsia="ja-JP"/>
        </w:rPr>
        <w:t>The Sage Handbook of Education for Citizenship and Democracy</w:t>
      </w:r>
      <w:r w:rsidRPr="00B9797F">
        <w:rPr>
          <w:lang w:eastAsia="ja-JP"/>
        </w:rPr>
        <w:t xml:space="preserve">, pp. 109-124. London: Sage. </w:t>
      </w:r>
    </w:p>
    <w:p w14:paraId="61EE0875" w14:textId="77777777" w:rsidR="0076458F" w:rsidRPr="00AC0201" w:rsidRDefault="0076458F" w:rsidP="0076458F">
      <w:pPr>
        <w:pStyle w:val="Bibliography"/>
      </w:pPr>
      <w:r w:rsidRPr="00AC0201">
        <w:t xml:space="preserve">SEN, A. (1999) </w:t>
      </w:r>
      <w:r w:rsidRPr="00AC0201">
        <w:rPr>
          <w:i/>
        </w:rPr>
        <w:t>Development as Freedom.</w:t>
      </w:r>
      <w:r w:rsidRPr="00AC0201">
        <w:t xml:space="preserve"> New York: Anchor</w:t>
      </w:r>
      <w:r>
        <w:t>.</w:t>
      </w:r>
    </w:p>
    <w:p w14:paraId="03C759A2" w14:textId="77777777" w:rsidR="0076458F" w:rsidRPr="00AC0201" w:rsidRDefault="0076458F" w:rsidP="0076458F">
      <w:pPr>
        <w:pStyle w:val="Bibliography"/>
      </w:pPr>
      <w:r w:rsidRPr="00AC0201">
        <w:t xml:space="preserve">STROMQUIST, N. P. and MONKMAN, K. (2000) </w:t>
      </w:r>
      <w:r w:rsidRPr="00AC0201">
        <w:rPr>
          <w:i/>
        </w:rPr>
        <w:t>Globalization and education: int</w:t>
      </w:r>
      <w:r w:rsidRPr="00AC0201">
        <w:rPr>
          <w:i/>
        </w:rPr>
        <w:t>e</w:t>
      </w:r>
      <w:r w:rsidRPr="00AC0201">
        <w:rPr>
          <w:i/>
        </w:rPr>
        <w:t>gration and contestation across cultures</w:t>
      </w:r>
      <w:r w:rsidRPr="00AC0201">
        <w:t>, London: Rowman &amp; Littlefield.  </w:t>
      </w:r>
    </w:p>
    <w:p w14:paraId="6B735057" w14:textId="77777777" w:rsidR="0089630E" w:rsidRDefault="0076458F" w:rsidP="0089630E">
      <w:pPr>
        <w:pStyle w:val="Bibliography"/>
      </w:pPr>
      <w:r w:rsidRPr="00AC0201">
        <w:t xml:space="preserve">TAMATEA, L., HARDY, J., NINNES, P. (2008) Paradoxical inscriptions of global subjects: critical discourse analysis of international schools’ websites in the Asia-Pacific Region. </w:t>
      </w:r>
      <w:r w:rsidRPr="00AC0201">
        <w:rPr>
          <w:i/>
        </w:rPr>
        <w:t>Critical Studies in Education</w:t>
      </w:r>
      <w:r w:rsidRPr="00AC0201">
        <w:t>, 49 (2), pp. 157 – 170.</w:t>
      </w:r>
    </w:p>
    <w:p w14:paraId="5E87FCFF" w14:textId="41DE1157" w:rsidR="0089630E" w:rsidRPr="0089630E" w:rsidRDefault="0089630E" w:rsidP="0089630E">
      <w:pPr>
        <w:pStyle w:val="Bibliography"/>
      </w:pPr>
      <w:r>
        <w:t xml:space="preserve">TULLY, J. (2014) </w:t>
      </w:r>
      <w:r>
        <w:rPr>
          <w:i/>
        </w:rPr>
        <w:t>On Global Citizenship</w:t>
      </w:r>
      <w:r>
        <w:t>. New York &amp; London: Bloomsbury Acade</w:t>
      </w:r>
      <w:r>
        <w:t>m</w:t>
      </w:r>
      <w:r>
        <w:t xml:space="preserve">ic. </w:t>
      </w:r>
    </w:p>
    <w:p w14:paraId="7EF545A9" w14:textId="77777777" w:rsidR="0076458F" w:rsidRPr="00AC0201" w:rsidRDefault="0076458F" w:rsidP="0089630E">
      <w:pPr>
        <w:pStyle w:val="Bibliography"/>
      </w:pPr>
      <w:r w:rsidRPr="00AC0201">
        <w:t xml:space="preserve">TURNER, B. (2002) Cosmopolitan Virtue, Globalization and Patriotism. </w:t>
      </w:r>
      <w:r w:rsidRPr="00AC0201">
        <w:rPr>
          <w:i/>
        </w:rPr>
        <w:t>Theory, Cu</w:t>
      </w:r>
      <w:r w:rsidRPr="00AC0201">
        <w:rPr>
          <w:i/>
        </w:rPr>
        <w:t>l</w:t>
      </w:r>
      <w:r w:rsidRPr="00AC0201">
        <w:rPr>
          <w:i/>
        </w:rPr>
        <w:t xml:space="preserve">ture &amp; Society, </w:t>
      </w:r>
      <w:r w:rsidRPr="00AC0201">
        <w:t>19 (1 – 2), pp. 45 – 63</w:t>
      </w:r>
      <w:r w:rsidRPr="00AC0201">
        <w:rPr>
          <w:i/>
        </w:rPr>
        <w:t>.</w:t>
      </w:r>
      <w:r w:rsidRPr="00AC0201">
        <w:t xml:space="preserve"> </w:t>
      </w:r>
    </w:p>
    <w:p w14:paraId="227E58AF" w14:textId="77777777" w:rsidR="0076458F" w:rsidRPr="00AC0201" w:rsidRDefault="0076458F" w:rsidP="0076458F">
      <w:pPr>
        <w:pStyle w:val="Bibliography"/>
      </w:pPr>
      <w:r w:rsidRPr="00AC0201">
        <w:t xml:space="preserve">UNESCO (2014) </w:t>
      </w:r>
      <w:r w:rsidRPr="00AC0201">
        <w:rPr>
          <w:i/>
        </w:rPr>
        <w:t>Global Citizenship Education: Preparing learners for the Challenges of the 21</w:t>
      </w:r>
      <w:r w:rsidRPr="00AC0201">
        <w:rPr>
          <w:i/>
          <w:vertAlign w:val="superscript"/>
        </w:rPr>
        <w:t>st</w:t>
      </w:r>
      <w:r w:rsidRPr="00AC0201">
        <w:rPr>
          <w:i/>
        </w:rPr>
        <w:t xml:space="preserve"> Century.</w:t>
      </w:r>
      <w:r w:rsidRPr="00AC0201">
        <w:t xml:space="preserve"> Paris: United Nations Educational, Scientific and Cultural Organiz</w:t>
      </w:r>
      <w:r w:rsidRPr="00AC0201">
        <w:t>a</w:t>
      </w:r>
      <w:r w:rsidRPr="00AC0201">
        <w:t xml:space="preserve">tion. </w:t>
      </w:r>
    </w:p>
    <w:p w14:paraId="641D07D1" w14:textId="77777777" w:rsidR="0076458F" w:rsidRPr="00AC0201" w:rsidRDefault="0076458F" w:rsidP="0076458F">
      <w:pPr>
        <w:pStyle w:val="Bibliography"/>
      </w:pPr>
      <w:r w:rsidRPr="00AC0201">
        <w:t xml:space="preserve">URRY, J. (1998) </w:t>
      </w:r>
      <w:r w:rsidRPr="00AC0201">
        <w:rPr>
          <w:i/>
        </w:rPr>
        <w:t>Globalisation and Citizenship</w:t>
      </w:r>
      <w:r w:rsidRPr="00AC0201">
        <w:t xml:space="preserve">. Unpublished paper, Department of </w:t>
      </w:r>
      <w:r w:rsidRPr="00B757CB">
        <w:rPr>
          <w:spacing w:val="36"/>
          <w:kern w:val="16"/>
        </w:rPr>
        <w:t>Sociology, Lancaster University, UK. Available from:</w:t>
      </w:r>
      <w:r w:rsidRPr="00AC0201">
        <w:t xml:space="preserve"> http://www.lancaster.ac.uk/sociology/research/publications/papers/urry-globalisation-and-citizenship.pdf [Accessed 11/04/15].</w:t>
      </w:r>
    </w:p>
    <w:p w14:paraId="48C1B963" w14:textId="77777777" w:rsidR="0076458F" w:rsidRPr="00AC0201" w:rsidRDefault="0076458F" w:rsidP="0076458F">
      <w:pPr>
        <w:pStyle w:val="Bibliography"/>
      </w:pPr>
      <w:r w:rsidRPr="00AC0201">
        <w:t xml:space="preserve">WHO DO WE THINK WE ARE (2015) </w:t>
      </w:r>
      <w:r w:rsidRPr="00AC0201">
        <w:rPr>
          <w:i/>
        </w:rPr>
        <w:t xml:space="preserve">Citizenship formation. </w:t>
      </w:r>
      <w:r w:rsidRPr="00AC0201">
        <w:t>[Online]. Available from: http://www.citizenshipfoundation.org.uk/index.php [Accessed 02/04/15].</w:t>
      </w:r>
    </w:p>
    <w:p w14:paraId="4AF1EA59" w14:textId="77777777" w:rsidR="0076458F" w:rsidRPr="00AC0201" w:rsidRDefault="0076458F" w:rsidP="0076458F">
      <w:pPr>
        <w:pStyle w:val="Bibliography"/>
      </w:pPr>
      <w:r w:rsidRPr="00AC0201">
        <w:t xml:space="preserve">WRIGHT, C. (2012) Postcolonial Cosmopolitanisms: Towards a Global Citizenship Education Based on ‘Divisive Universalism’. In: ANDREOTTI, V. &amp; SOUZA, L.M. (eds.) </w:t>
      </w:r>
      <w:r w:rsidRPr="00AC0201">
        <w:rPr>
          <w:i/>
        </w:rPr>
        <w:t>Postcolonial Perspectives on Global Citizenship Education.</w:t>
      </w:r>
      <w:r w:rsidRPr="00AC0201">
        <w:t xml:space="preserve"> Oxon: Routledge, pp. 47 – 67. </w:t>
      </w:r>
    </w:p>
    <w:p w14:paraId="650598B5" w14:textId="77777777" w:rsidR="0076458F" w:rsidRDefault="0076458F" w:rsidP="00914569"/>
    <w:p w14:paraId="6C9DB631" w14:textId="77777777" w:rsidR="0079580C" w:rsidRPr="00B3464A" w:rsidRDefault="0079580C" w:rsidP="00914569">
      <w:pPr>
        <w:ind w:left="0" w:firstLine="0"/>
      </w:pPr>
    </w:p>
    <w:sectPr w:rsidR="0079580C" w:rsidRPr="00B3464A" w:rsidSect="00F61484">
      <w:footerReference w:type="even" r:id="rId9"/>
      <w:footerReference w:type="default" r:id="rId10"/>
      <w:pgSz w:w="11900" w:h="16840"/>
      <w:pgMar w:top="1440" w:right="1814" w:bottom="1440" w:left="1814"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75F7C" w14:textId="77777777" w:rsidR="00B6598B" w:rsidRDefault="00B6598B" w:rsidP="00A6577C">
      <w:pPr>
        <w:spacing w:after="0" w:line="240" w:lineRule="auto"/>
      </w:pPr>
      <w:r>
        <w:separator/>
      </w:r>
    </w:p>
  </w:endnote>
  <w:endnote w:type="continuationSeparator" w:id="0">
    <w:p w14:paraId="2EB670A6" w14:textId="77777777" w:rsidR="00B6598B" w:rsidRDefault="00B6598B" w:rsidP="00A65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Baskerville">
    <w:panose1 w:val="02020502070401020303"/>
    <w:charset w:val="00"/>
    <w:family w:val="auto"/>
    <w:pitch w:val="variable"/>
    <w:sig w:usb0="80000067" w:usb1="00000000"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2480DF" w14:textId="77777777" w:rsidR="00B6598B" w:rsidRDefault="00B6598B" w:rsidP="00A966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EF01CB" w14:textId="77777777" w:rsidR="00B6598B" w:rsidRDefault="00B6598B" w:rsidP="00A6577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69D48" w14:textId="77777777" w:rsidR="00B6598B" w:rsidRDefault="00B6598B" w:rsidP="00A966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B5115">
      <w:rPr>
        <w:rStyle w:val="PageNumber"/>
        <w:noProof/>
      </w:rPr>
      <w:t>1</w:t>
    </w:r>
    <w:r>
      <w:rPr>
        <w:rStyle w:val="PageNumber"/>
      </w:rPr>
      <w:fldChar w:fldCharType="end"/>
    </w:r>
  </w:p>
  <w:p w14:paraId="5DC4CFD9" w14:textId="77777777" w:rsidR="00B6598B" w:rsidRDefault="00B6598B" w:rsidP="00A6577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0D01F3" w14:textId="77777777" w:rsidR="00B6598B" w:rsidRDefault="00B6598B" w:rsidP="00A6577C">
      <w:pPr>
        <w:spacing w:after="0" w:line="240" w:lineRule="auto"/>
      </w:pPr>
      <w:r>
        <w:separator/>
      </w:r>
    </w:p>
  </w:footnote>
  <w:footnote w:type="continuationSeparator" w:id="0">
    <w:p w14:paraId="63379A1B" w14:textId="77777777" w:rsidR="00B6598B" w:rsidRDefault="00B6598B" w:rsidP="00A6577C">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97F88"/>
    <w:multiLevelType w:val="hybridMultilevel"/>
    <w:tmpl w:val="9B36E654"/>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37F5EB6"/>
    <w:multiLevelType w:val="hybridMultilevel"/>
    <w:tmpl w:val="782EE6A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4876587"/>
    <w:multiLevelType w:val="hybridMultilevel"/>
    <w:tmpl w:val="7CA2D2D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5412D28"/>
    <w:multiLevelType w:val="hybridMultilevel"/>
    <w:tmpl w:val="3E50E4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7B43934"/>
    <w:multiLevelType w:val="hybridMultilevel"/>
    <w:tmpl w:val="BA1E893A"/>
    <w:lvl w:ilvl="0" w:tplc="0FD601EA">
      <w:start w:val="5"/>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CED0EED"/>
    <w:multiLevelType w:val="multilevel"/>
    <w:tmpl w:val="B9DA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ED00AA"/>
    <w:multiLevelType w:val="hybridMultilevel"/>
    <w:tmpl w:val="561020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8912480"/>
    <w:multiLevelType w:val="hybridMultilevel"/>
    <w:tmpl w:val="EE3C04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377A0563"/>
    <w:multiLevelType w:val="multilevel"/>
    <w:tmpl w:val="C3F29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A0729A3"/>
    <w:multiLevelType w:val="multilevel"/>
    <w:tmpl w:val="35A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624A59"/>
    <w:multiLevelType w:val="hybridMultilevel"/>
    <w:tmpl w:val="D7D0D5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6CF9506E"/>
    <w:multiLevelType w:val="hybridMultilevel"/>
    <w:tmpl w:val="9A7E4C4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4233E56"/>
    <w:multiLevelType w:val="hybridMultilevel"/>
    <w:tmpl w:val="70CCDD2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9156304"/>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79C546CD"/>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6"/>
  </w:num>
  <w:num w:numId="3">
    <w:abstractNumId w:val="1"/>
  </w:num>
  <w:num w:numId="4">
    <w:abstractNumId w:val="2"/>
  </w:num>
  <w:num w:numId="5">
    <w:abstractNumId w:val="10"/>
  </w:num>
  <w:num w:numId="6">
    <w:abstractNumId w:val="9"/>
  </w:num>
  <w:num w:numId="7">
    <w:abstractNumId w:val="5"/>
  </w:num>
  <w:num w:numId="8">
    <w:abstractNumId w:val="12"/>
  </w:num>
  <w:num w:numId="9">
    <w:abstractNumId w:val="11"/>
  </w:num>
  <w:num w:numId="10">
    <w:abstractNumId w:val="8"/>
  </w:num>
  <w:num w:numId="11">
    <w:abstractNumId w:val="14"/>
  </w:num>
  <w:num w:numId="12">
    <w:abstractNumId w:val="14"/>
  </w:num>
  <w:num w:numId="13">
    <w:abstractNumId w:val="14"/>
  </w:num>
  <w:num w:numId="14">
    <w:abstractNumId w:val="14"/>
  </w:num>
  <w:num w:numId="15">
    <w:abstractNumId w:val="14"/>
  </w:num>
  <w:num w:numId="16">
    <w:abstractNumId w:val="14"/>
  </w:num>
  <w:num w:numId="17">
    <w:abstractNumId w:val="0"/>
  </w:num>
  <w:num w:numId="18">
    <w:abstractNumId w:val="13"/>
  </w:num>
  <w:num w:numId="19">
    <w:abstractNumId w:val="7"/>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52"/>
  <w:mirrorMargins/>
  <w:activeWritingStyle w:appName="MSWord" w:lang="en-GB" w:vendorID="64" w:dllVersion="131078" w:nlCheck="1" w:checkStyle="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6D91"/>
    <w:rsid w:val="00000BFA"/>
    <w:rsid w:val="0000668C"/>
    <w:rsid w:val="000165F5"/>
    <w:rsid w:val="000200BA"/>
    <w:rsid w:val="000208B6"/>
    <w:rsid w:val="00021DFE"/>
    <w:rsid w:val="00021F12"/>
    <w:rsid w:val="00025410"/>
    <w:rsid w:val="000277DA"/>
    <w:rsid w:val="000328D4"/>
    <w:rsid w:val="00036813"/>
    <w:rsid w:val="00040382"/>
    <w:rsid w:val="00066588"/>
    <w:rsid w:val="000808C5"/>
    <w:rsid w:val="0008195E"/>
    <w:rsid w:val="00086AFC"/>
    <w:rsid w:val="000B4F37"/>
    <w:rsid w:val="000B6348"/>
    <w:rsid w:val="000C5B10"/>
    <w:rsid w:val="000D7640"/>
    <w:rsid w:val="000D7B74"/>
    <w:rsid w:val="000E4897"/>
    <w:rsid w:val="0010764C"/>
    <w:rsid w:val="00111E62"/>
    <w:rsid w:val="00124280"/>
    <w:rsid w:val="00131AAE"/>
    <w:rsid w:val="00145934"/>
    <w:rsid w:val="001541BF"/>
    <w:rsid w:val="0015533E"/>
    <w:rsid w:val="00155D8E"/>
    <w:rsid w:val="00166F62"/>
    <w:rsid w:val="00184416"/>
    <w:rsid w:val="001A288D"/>
    <w:rsid w:val="001A3866"/>
    <w:rsid w:val="001A4743"/>
    <w:rsid w:val="001B01A9"/>
    <w:rsid w:val="001C52EC"/>
    <w:rsid w:val="001D4651"/>
    <w:rsid w:val="001E2197"/>
    <w:rsid w:val="001E2775"/>
    <w:rsid w:val="001E3125"/>
    <w:rsid w:val="001E523E"/>
    <w:rsid w:val="001E73DB"/>
    <w:rsid w:val="001F4827"/>
    <w:rsid w:val="0020271A"/>
    <w:rsid w:val="00202D8A"/>
    <w:rsid w:val="0022572B"/>
    <w:rsid w:val="00240D49"/>
    <w:rsid w:val="0024407F"/>
    <w:rsid w:val="00251AB6"/>
    <w:rsid w:val="002607BF"/>
    <w:rsid w:val="00276422"/>
    <w:rsid w:val="00276608"/>
    <w:rsid w:val="002914CD"/>
    <w:rsid w:val="002A4D39"/>
    <w:rsid w:val="002B73F5"/>
    <w:rsid w:val="002C17EA"/>
    <w:rsid w:val="002C625D"/>
    <w:rsid w:val="002C75B8"/>
    <w:rsid w:val="002D5FDE"/>
    <w:rsid w:val="002E7068"/>
    <w:rsid w:val="002F3A9A"/>
    <w:rsid w:val="002F5095"/>
    <w:rsid w:val="00301408"/>
    <w:rsid w:val="003069D8"/>
    <w:rsid w:val="003173DC"/>
    <w:rsid w:val="0032160F"/>
    <w:rsid w:val="0032525A"/>
    <w:rsid w:val="003325F3"/>
    <w:rsid w:val="003349B6"/>
    <w:rsid w:val="00336082"/>
    <w:rsid w:val="0034519E"/>
    <w:rsid w:val="00352F32"/>
    <w:rsid w:val="003533CF"/>
    <w:rsid w:val="003544F5"/>
    <w:rsid w:val="00372A99"/>
    <w:rsid w:val="003747D2"/>
    <w:rsid w:val="00385362"/>
    <w:rsid w:val="00391ACB"/>
    <w:rsid w:val="003B1490"/>
    <w:rsid w:val="003B55F6"/>
    <w:rsid w:val="003D3C8F"/>
    <w:rsid w:val="003D60A1"/>
    <w:rsid w:val="003D7019"/>
    <w:rsid w:val="003E18CC"/>
    <w:rsid w:val="003E1B98"/>
    <w:rsid w:val="003E2392"/>
    <w:rsid w:val="003E32CC"/>
    <w:rsid w:val="00403BE6"/>
    <w:rsid w:val="00410211"/>
    <w:rsid w:val="004165C6"/>
    <w:rsid w:val="00423C8C"/>
    <w:rsid w:val="004261AE"/>
    <w:rsid w:val="00426B27"/>
    <w:rsid w:val="0045393A"/>
    <w:rsid w:val="004576A5"/>
    <w:rsid w:val="00466DA9"/>
    <w:rsid w:val="00475B44"/>
    <w:rsid w:val="004A409F"/>
    <w:rsid w:val="004A6B5F"/>
    <w:rsid w:val="004B79CD"/>
    <w:rsid w:val="004C70C3"/>
    <w:rsid w:val="004F4461"/>
    <w:rsid w:val="004F4472"/>
    <w:rsid w:val="004F63CD"/>
    <w:rsid w:val="0050678B"/>
    <w:rsid w:val="00517082"/>
    <w:rsid w:val="00523106"/>
    <w:rsid w:val="0053218C"/>
    <w:rsid w:val="0054074A"/>
    <w:rsid w:val="005444CF"/>
    <w:rsid w:val="00545A1A"/>
    <w:rsid w:val="00545F1C"/>
    <w:rsid w:val="00553F07"/>
    <w:rsid w:val="005541C9"/>
    <w:rsid w:val="005574A8"/>
    <w:rsid w:val="0056651E"/>
    <w:rsid w:val="00567E8C"/>
    <w:rsid w:val="00574E65"/>
    <w:rsid w:val="00582A9F"/>
    <w:rsid w:val="00591FF8"/>
    <w:rsid w:val="0059767D"/>
    <w:rsid w:val="005A23F2"/>
    <w:rsid w:val="005C6F8A"/>
    <w:rsid w:val="005D108A"/>
    <w:rsid w:val="005D1D52"/>
    <w:rsid w:val="005D5982"/>
    <w:rsid w:val="005D5FCF"/>
    <w:rsid w:val="005D721D"/>
    <w:rsid w:val="005D75A5"/>
    <w:rsid w:val="005E1831"/>
    <w:rsid w:val="005F15D9"/>
    <w:rsid w:val="005F78B4"/>
    <w:rsid w:val="0060199F"/>
    <w:rsid w:val="00616B07"/>
    <w:rsid w:val="0062487E"/>
    <w:rsid w:val="006317A5"/>
    <w:rsid w:val="00631A38"/>
    <w:rsid w:val="006334DF"/>
    <w:rsid w:val="00633F46"/>
    <w:rsid w:val="0064632B"/>
    <w:rsid w:val="00664FDC"/>
    <w:rsid w:val="0066769A"/>
    <w:rsid w:val="00682789"/>
    <w:rsid w:val="0068577D"/>
    <w:rsid w:val="006863DE"/>
    <w:rsid w:val="006A2E26"/>
    <w:rsid w:val="006B1CDD"/>
    <w:rsid w:val="006B1FEA"/>
    <w:rsid w:val="006C6805"/>
    <w:rsid w:val="006E7BEF"/>
    <w:rsid w:val="006F0D93"/>
    <w:rsid w:val="006F33EE"/>
    <w:rsid w:val="00710287"/>
    <w:rsid w:val="00723CD2"/>
    <w:rsid w:val="00726EE3"/>
    <w:rsid w:val="00732454"/>
    <w:rsid w:val="0073664C"/>
    <w:rsid w:val="007371F7"/>
    <w:rsid w:val="007376F9"/>
    <w:rsid w:val="007478D8"/>
    <w:rsid w:val="00751044"/>
    <w:rsid w:val="007530B1"/>
    <w:rsid w:val="00763150"/>
    <w:rsid w:val="00764578"/>
    <w:rsid w:val="0076458F"/>
    <w:rsid w:val="00773E8A"/>
    <w:rsid w:val="00776884"/>
    <w:rsid w:val="0079580C"/>
    <w:rsid w:val="007A008E"/>
    <w:rsid w:val="007A265E"/>
    <w:rsid w:val="007B05E1"/>
    <w:rsid w:val="007B4DF5"/>
    <w:rsid w:val="007B5115"/>
    <w:rsid w:val="007B5965"/>
    <w:rsid w:val="007C2878"/>
    <w:rsid w:val="007E2625"/>
    <w:rsid w:val="007E7CB4"/>
    <w:rsid w:val="00800037"/>
    <w:rsid w:val="00817BEE"/>
    <w:rsid w:val="00825CF3"/>
    <w:rsid w:val="00831B08"/>
    <w:rsid w:val="00831E0B"/>
    <w:rsid w:val="00834A41"/>
    <w:rsid w:val="00837B55"/>
    <w:rsid w:val="00837FC5"/>
    <w:rsid w:val="008423EF"/>
    <w:rsid w:val="0086512C"/>
    <w:rsid w:val="00883832"/>
    <w:rsid w:val="0089630E"/>
    <w:rsid w:val="00897868"/>
    <w:rsid w:val="008A553A"/>
    <w:rsid w:val="008D0CC3"/>
    <w:rsid w:val="008E0B26"/>
    <w:rsid w:val="008E6A17"/>
    <w:rsid w:val="008F2782"/>
    <w:rsid w:val="008F66C5"/>
    <w:rsid w:val="008F7086"/>
    <w:rsid w:val="008F7A7F"/>
    <w:rsid w:val="0090719F"/>
    <w:rsid w:val="00907217"/>
    <w:rsid w:val="00907327"/>
    <w:rsid w:val="00914569"/>
    <w:rsid w:val="0091634E"/>
    <w:rsid w:val="0092389D"/>
    <w:rsid w:val="00923A06"/>
    <w:rsid w:val="00934713"/>
    <w:rsid w:val="009532F0"/>
    <w:rsid w:val="00953B34"/>
    <w:rsid w:val="00956E08"/>
    <w:rsid w:val="009758ED"/>
    <w:rsid w:val="0099121D"/>
    <w:rsid w:val="00993872"/>
    <w:rsid w:val="009A6D91"/>
    <w:rsid w:val="009B4C88"/>
    <w:rsid w:val="009B545E"/>
    <w:rsid w:val="009B73F3"/>
    <w:rsid w:val="009C3808"/>
    <w:rsid w:val="009C5ADF"/>
    <w:rsid w:val="009C72B4"/>
    <w:rsid w:val="009D6548"/>
    <w:rsid w:val="009E0B7B"/>
    <w:rsid w:val="009F5CE7"/>
    <w:rsid w:val="00A14B6C"/>
    <w:rsid w:val="00A3208E"/>
    <w:rsid w:val="00A35C59"/>
    <w:rsid w:val="00A54B40"/>
    <w:rsid w:val="00A61EB2"/>
    <w:rsid w:val="00A6577C"/>
    <w:rsid w:val="00A673D2"/>
    <w:rsid w:val="00A76332"/>
    <w:rsid w:val="00A764AC"/>
    <w:rsid w:val="00A83F65"/>
    <w:rsid w:val="00A87052"/>
    <w:rsid w:val="00A9669B"/>
    <w:rsid w:val="00AA133D"/>
    <w:rsid w:val="00AA794B"/>
    <w:rsid w:val="00AB0365"/>
    <w:rsid w:val="00AB45D1"/>
    <w:rsid w:val="00AB64E2"/>
    <w:rsid w:val="00AB7716"/>
    <w:rsid w:val="00AC3C1F"/>
    <w:rsid w:val="00AC5423"/>
    <w:rsid w:val="00AD5AC0"/>
    <w:rsid w:val="00AF1BD9"/>
    <w:rsid w:val="00AF7286"/>
    <w:rsid w:val="00B05E5E"/>
    <w:rsid w:val="00B06FC4"/>
    <w:rsid w:val="00B2397D"/>
    <w:rsid w:val="00B24681"/>
    <w:rsid w:val="00B31E21"/>
    <w:rsid w:val="00B32645"/>
    <w:rsid w:val="00B32D9D"/>
    <w:rsid w:val="00B3464A"/>
    <w:rsid w:val="00B52D71"/>
    <w:rsid w:val="00B561C1"/>
    <w:rsid w:val="00B6598B"/>
    <w:rsid w:val="00B7021F"/>
    <w:rsid w:val="00B81133"/>
    <w:rsid w:val="00B87B45"/>
    <w:rsid w:val="00B9797F"/>
    <w:rsid w:val="00BA53E6"/>
    <w:rsid w:val="00BA5C3B"/>
    <w:rsid w:val="00BB786D"/>
    <w:rsid w:val="00BB7EF7"/>
    <w:rsid w:val="00BC44B5"/>
    <w:rsid w:val="00BD74DE"/>
    <w:rsid w:val="00BE763D"/>
    <w:rsid w:val="00BF2B31"/>
    <w:rsid w:val="00BF3A38"/>
    <w:rsid w:val="00BF4EED"/>
    <w:rsid w:val="00C12A45"/>
    <w:rsid w:val="00C26B77"/>
    <w:rsid w:val="00C433EF"/>
    <w:rsid w:val="00C43E81"/>
    <w:rsid w:val="00C451FB"/>
    <w:rsid w:val="00C52919"/>
    <w:rsid w:val="00C63AFE"/>
    <w:rsid w:val="00C661E7"/>
    <w:rsid w:val="00C74691"/>
    <w:rsid w:val="00C74EC2"/>
    <w:rsid w:val="00C7769C"/>
    <w:rsid w:val="00C814C0"/>
    <w:rsid w:val="00C913DD"/>
    <w:rsid w:val="00C93DBE"/>
    <w:rsid w:val="00C9753A"/>
    <w:rsid w:val="00CA14DB"/>
    <w:rsid w:val="00CA366F"/>
    <w:rsid w:val="00CA557E"/>
    <w:rsid w:val="00CB15F9"/>
    <w:rsid w:val="00CB3711"/>
    <w:rsid w:val="00CC7D0F"/>
    <w:rsid w:val="00CD1885"/>
    <w:rsid w:val="00CD2311"/>
    <w:rsid w:val="00CF035C"/>
    <w:rsid w:val="00D02593"/>
    <w:rsid w:val="00D078D2"/>
    <w:rsid w:val="00D1218F"/>
    <w:rsid w:val="00D1233C"/>
    <w:rsid w:val="00D1422B"/>
    <w:rsid w:val="00D25944"/>
    <w:rsid w:val="00D259B7"/>
    <w:rsid w:val="00D26A76"/>
    <w:rsid w:val="00D27379"/>
    <w:rsid w:val="00D323A2"/>
    <w:rsid w:val="00D3613E"/>
    <w:rsid w:val="00D4436E"/>
    <w:rsid w:val="00D50594"/>
    <w:rsid w:val="00D83C9F"/>
    <w:rsid w:val="00D84E3A"/>
    <w:rsid w:val="00DA6F7A"/>
    <w:rsid w:val="00DB6233"/>
    <w:rsid w:val="00DF5EC2"/>
    <w:rsid w:val="00E01390"/>
    <w:rsid w:val="00E20B09"/>
    <w:rsid w:val="00E23E7E"/>
    <w:rsid w:val="00E25452"/>
    <w:rsid w:val="00E27015"/>
    <w:rsid w:val="00E340CF"/>
    <w:rsid w:val="00E369CD"/>
    <w:rsid w:val="00E437B5"/>
    <w:rsid w:val="00E51D1C"/>
    <w:rsid w:val="00E555DA"/>
    <w:rsid w:val="00E650DC"/>
    <w:rsid w:val="00E7670A"/>
    <w:rsid w:val="00E856C3"/>
    <w:rsid w:val="00E9188B"/>
    <w:rsid w:val="00E921AF"/>
    <w:rsid w:val="00E971AE"/>
    <w:rsid w:val="00EB4ECB"/>
    <w:rsid w:val="00EC1820"/>
    <w:rsid w:val="00EC7BDB"/>
    <w:rsid w:val="00ED2FC1"/>
    <w:rsid w:val="00ED51B0"/>
    <w:rsid w:val="00ED71C7"/>
    <w:rsid w:val="00ED7670"/>
    <w:rsid w:val="00EE04D5"/>
    <w:rsid w:val="00EE24C7"/>
    <w:rsid w:val="00EF0410"/>
    <w:rsid w:val="00EF1266"/>
    <w:rsid w:val="00EF1786"/>
    <w:rsid w:val="00EF5204"/>
    <w:rsid w:val="00F02393"/>
    <w:rsid w:val="00F037CC"/>
    <w:rsid w:val="00F1363E"/>
    <w:rsid w:val="00F1404C"/>
    <w:rsid w:val="00F15BA5"/>
    <w:rsid w:val="00F16C01"/>
    <w:rsid w:val="00F221CD"/>
    <w:rsid w:val="00F26A07"/>
    <w:rsid w:val="00F34A5E"/>
    <w:rsid w:val="00F41CED"/>
    <w:rsid w:val="00F47450"/>
    <w:rsid w:val="00F61484"/>
    <w:rsid w:val="00F618A5"/>
    <w:rsid w:val="00F64155"/>
    <w:rsid w:val="00F80EC7"/>
    <w:rsid w:val="00FA676D"/>
    <w:rsid w:val="00FB07BE"/>
    <w:rsid w:val="00FB7026"/>
    <w:rsid w:val="00FD2DC4"/>
    <w:rsid w:val="00FE2D85"/>
    <w:rsid w:val="00FE4EA0"/>
    <w:rsid w:val="00FF21BC"/>
    <w:rsid w:val="00FF4E36"/>
    <w:rsid w:val="00FF6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C715B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885"/>
    <w:pPr>
      <w:spacing w:after="200" w:line="320" w:lineRule="exact"/>
      <w:ind w:left="170" w:right="227" w:firstLine="284"/>
      <w:contextualSpacing/>
      <w:jc w:val="both"/>
    </w:pPr>
    <w:rPr>
      <w:rFonts w:ascii="Garamond" w:eastAsiaTheme="minorHAnsi" w:hAnsi="Garamond"/>
      <w:sz w:val="24"/>
      <w:szCs w:val="24"/>
      <w:lang w:val="en-GB" w:eastAsia="en-US"/>
    </w:rPr>
  </w:style>
  <w:style w:type="paragraph" w:styleId="Heading1">
    <w:name w:val="heading 1"/>
    <w:basedOn w:val="Normal"/>
    <w:next w:val="Normal"/>
    <w:link w:val="Heading1Char"/>
    <w:uiPriority w:val="9"/>
    <w:qFormat/>
    <w:rsid w:val="007E2625"/>
    <w:pPr>
      <w:keepNext/>
      <w:keepLines/>
      <w:spacing w:before="480" w:after="240" w:line="240" w:lineRule="auto"/>
      <w:ind w:firstLine="0"/>
      <w:jc w:val="left"/>
      <w:outlineLvl w:val="0"/>
    </w:pPr>
    <w:rPr>
      <w:rFonts w:eastAsiaTheme="majorEastAsia"/>
      <w:b/>
      <w:bCs/>
      <w:sz w:val="36"/>
      <w:szCs w:val="56"/>
    </w:rPr>
  </w:style>
  <w:style w:type="paragraph" w:styleId="Heading2">
    <w:name w:val="heading 2"/>
    <w:basedOn w:val="Normal"/>
    <w:next w:val="Normal"/>
    <w:link w:val="Heading2Char"/>
    <w:uiPriority w:val="9"/>
    <w:unhideWhenUsed/>
    <w:qFormat/>
    <w:rsid w:val="003747D2"/>
    <w:pPr>
      <w:keepNext/>
      <w:keepLines/>
      <w:spacing w:before="360" w:after="120"/>
      <w:ind w:firstLine="0"/>
      <w:outlineLvl w:val="1"/>
    </w:pPr>
    <w:rPr>
      <w:rFonts w:eastAsiaTheme="majorEastAsia"/>
      <w:b/>
      <w:bCs/>
      <w:sz w:val="32"/>
      <w:szCs w:val="32"/>
    </w:rPr>
  </w:style>
  <w:style w:type="paragraph" w:styleId="Heading3">
    <w:name w:val="heading 3"/>
    <w:basedOn w:val="Heading2"/>
    <w:next w:val="Normal"/>
    <w:link w:val="Heading3Char"/>
    <w:uiPriority w:val="9"/>
    <w:unhideWhenUsed/>
    <w:qFormat/>
    <w:rsid w:val="003747D2"/>
    <w:pPr>
      <w:outlineLvl w:val="2"/>
    </w:pPr>
    <w:rPr>
      <w:i/>
      <w:sz w:val="28"/>
      <w:szCs w:val="24"/>
    </w:rPr>
  </w:style>
  <w:style w:type="paragraph" w:styleId="Heading4">
    <w:name w:val="heading 4"/>
    <w:basedOn w:val="Normal"/>
    <w:next w:val="Normal"/>
    <w:link w:val="Heading4Char"/>
    <w:uiPriority w:val="9"/>
    <w:unhideWhenUsed/>
    <w:qFormat/>
    <w:rsid w:val="003747D2"/>
    <w:pPr>
      <w:keepNext/>
      <w:keepLines/>
      <w:spacing w:before="200" w:after="0"/>
      <w:ind w:firstLine="0"/>
      <w:jc w:val="left"/>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111E62"/>
    <w:pPr>
      <w:keepNext/>
      <w:keepLines/>
      <w:numPr>
        <w:ilvl w:val="4"/>
        <w:numId w:val="1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11E62"/>
    <w:pPr>
      <w:keepNext/>
      <w:keepLines/>
      <w:numPr>
        <w:ilvl w:val="5"/>
        <w:numId w:val="1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11E62"/>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11E62"/>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11E62"/>
    <w:pPr>
      <w:keepNext/>
      <w:keepLines/>
      <w:numPr>
        <w:ilvl w:val="8"/>
        <w:numId w:val="1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E62"/>
    <w:pPr>
      <w:spacing w:after="0" w:line="240" w:lineRule="auto"/>
      <w:ind w:left="720"/>
    </w:pPr>
    <w:rPr>
      <w:rFonts w:eastAsiaTheme="minorEastAsia"/>
      <w:lang w:val="en-US" w:eastAsia="fr-FR"/>
    </w:rPr>
  </w:style>
  <w:style w:type="character" w:styleId="Hyperlink">
    <w:name w:val="Hyperlink"/>
    <w:basedOn w:val="DefaultParagraphFont"/>
    <w:uiPriority w:val="99"/>
    <w:unhideWhenUsed/>
    <w:rsid w:val="00FF4E36"/>
    <w:rPr>
      <w:color w:val="0000FF" w:themeColor="hyperlink"/>
      <w:u w:val="single"/>
    </w:rPr>
  </w:style>
  <w:style w:type="character" w:customStyle="1" w:styleId="Heading1Char">
    <w:name w:val="Heading 1 Char"/>
    <w:basedOn w:val="DefaultParagraphFont"/>
    <w:link w:val="Heading1"/>
    <w:uiPriority w:val="9"/>
    <w:rsid w:val="007E2625"/>
    <w:rPr>
      <w:rFonts w:eastAsiaTheme="majorEastAsia"/>
      <w:b/>
      <w:bCs/>
      <w:sz w:val="36"/>
      <w:szCs w:val="56"/>
      <w:lang w:val="en-GB" w:eastAsia="en-US"/>
    </w:rPr>
  </w:style>
  <w:style w:type="paragraph" w:styleId="Title">
    <w:name w:val="Title"/>
    <w:basedOn w:val="Normal"/>
    <w:next w:val="Normal"/>
    <w:link w:val="TitleChar"/>
    <w:uiPriority w:val="10"/>
    <w:qFormat/>
    <w:rsid w:val="00AC5423"/>
    <w:pPr>
      <w:spacing w:before="120" w:after="120" w:line="240" w:lineRule="auto"/>
    </w:pPr>
    <w:rPr>
      <w:rFonts w:eastAsiaTheme="majorEastAsia" w:cstheme="majorBidi"/>
      <w:spacing w:val="5"/>
      <w:kern w:val="28"/>
      <w:sz w:val="48"/>
      <w:szCs w:val="52"/>
    </w:rPr>
  </w:style>
  <w:style w:type="character" w:customStyle="1" w:styleId="TitleChar">
    <w:name w:val="Title Char"/>
    <w:basedOn w:val="DefaultParagraphFont"/>
    <w:link w:val="Title"/>
    <w:uiPriority w:val="10"/>
    <w:rsid w:val="00AC5423"/>
    <w:rPr>
      <w:rFonts w:ascii="Garamond" w:eastAsiaTheme="majorEastAsia" w:hAnsi="Garamond" w:cstheme="majorBidi"/>
      <w:spacing w:val="5"/>
      <w:kern w:val="28"/>
      <w:sz w:val="48"/>
      <w:szCs w:val="52"/>
      <w:lang w:val="en-GB" w:eastAsia="en-US"/>
    </w:rPr>
  </w:style>
  <w:style w:type="character" w:customStyle="1" w:styleId="Heading2Char">
    <w:name w:val="Heading 2 Char"/>
    <w:basedOn w:val="DefaultParagraphFont"/>
    <w:link w:val="Heading2"/>
    <w:uiPriority w:val="9"/>
    <w:rsid w:val="003747D2"/>
    <w:rPr>
      <w:rFonts w:eastAsiaTheme="majorEastAsia"/>
      <w:b/>
      <w:bCs/>
      <w:sz w:val="32"/>
      <w:szCs w:val="32"/>
      <w:lang w:val="en-GB" w:eastAsia="en-US"/>
    </w:rPr>
  </w:style>
  <w:style w:type="paragraph" w:styleId="NormalWeb">
    <w:name w:val="Normal (Web)"/>
    <w:basedOn w:val="Normal"/>
    <w:uiPriority w:val="99"/>
    <w:unhideWhenUsed/>
    <w:rsid w:val="00111E62"/>
    <w:pPr>
      <w:spacing w:before="100" w:beforeAutospacing="1" w:after="100" w:afterAutospacing="1" w:line="240" w:lineRule="auto"/>
    </w:pPr>
    <w:rPr>
      <w:rFonts w:ascii="Times" w:eastAsiaTheme="minorEastAsia" w:hAnsi="Times"/>
      <w:sz w:val="20"/>
      <w:szCs w:val="20"/>
      <w:lang w:val="en-US" w:eastAsia="fr-FR"/>
    </w:rPr>
  </w:style>
  <w:style w:type="character" w:customStyle="1" w:styleId="Heading3Char">
    <w:name w:val="Heading 3 Char"/>
    <w:basedOn w:val="DefaultParagraphFont"/>
    <w:link w:val="Heading3"/>
    <w:uiPriority w:val="9"/>
    <w:rsid w:val="003747D2"/>
    <w:rPr>
      <w:rFonts w:eastAsiaTheme="majorEastAsia"/>
      <w:b/>
      <w:bCs/>
      <w:i/>
      <w:sz w:val="28"/>
      <w:szCs w:val="24"/>
      <w:lang w:val="en-GB" w:eastAsia="en-US"/>
    </w:rPr>
  </w:style>
  <w:style w:type="table" w:styleId="TableGrid">
    <w:name w:val="Table Grid"/>
    <w:basedOn w:val="TableNormal"/>
    <w:uiPriority w:val="59"/>
    <w:rsid w:val="005976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1E62"/>
    <w:rPr>
      <w:i/>
      <w:iCs/>
    </w:rPr>
  </w:style>
  <w:style w:type="paragraph" w:styleId="Quote">
    <w:name w:val="Quote"/>
    <w:basedOn w:val="Normal"/>
    <w:next w:val="Normal"/>
    <w:link w:val="QuoteChar"/>
    <w:uiPriority w:val="29"/>
    <w:qFormat/>
    <w:rsid w:val="003D60A1"/>
    <w:pPr>
      <w:spacing w:line="240" w:lineRule="auto"/>
      <w:ind w:left="737" w:right="680" w:firstLine="397"/>
    </w:pPr>
    <w:rPr>
      <w:iCs/>
      <w:color w:val="000000" w:themeColor="text1"/>
      <w:sz w:val="22"/>
    </w:rPr>
  </w:style>
  <w:style w:type="character" w:customStyle="1" w:styleId="QuoteChar">
    <w:name w:val="Quote Char"/>
    <w:basedOn w:val="DefaultParagraphFont"/>
    <w:link w:val="Quote"/>
    <w:uiPriority w:val="29"/>
    <w:rsid w:val="003D60A1"/>
    <w:rPr>
      <w:rFonts w:ascii="Baskerville" w:eastAsiaTheme="minorHAnsi" w:hAnsi="Baskerville"/>
      <w:iCs/>
      <w:color w:val="000000" w:themeColor="text1"/>
      <w:szCs w:val="24"/>
      <w:lang w:val="en-GB" w:eastAsia="en-US"/>
    </w:rPr>
  </w:style>
  <w:style w:type="paragraph" w:styleId="TOCHeading">
    <w:name w:val="TOC Heading"/>
    <w:basedOn w:val="Heading1"/>
    <w:next w:val="Normal"/>
    <w:uiPriority w:val="39"/>
    <w:unhideWhenUsed/>
    <w:qFormat/>
    <w:rsid w:val="00111E62"/>
    <w:pPr>
      <w:spacing w:line="276" w:lineRule="auto"/>
      <w:outlineLvl w:val="9"/>
    </w:pPr>
    <w:rPr>
      <w:color w:val="365F91" w:themeColor="accent1" w:themeShade="BF"/>
      <w:sz w:val="28"/>
      <w:szCs w:val="28"/>
    </w:rPr>
  </w:style>
  <w:style w:type="paragraph" w:styleId="Index1">
    <w:name w:val="index 1"/>
    <w:aliases w:val="Bibliography"/>
    <w:basedOn w:val="Normal"/>
    <w:next w:val="Normal"/>
    <w:autoRedefine/>
    <w:uiPriority w:val="99"/>
    <w:unhideWhenUsed/>
    <w:rsid w:val="00111E62"/>
    <w:pPr>
      <w:ind w:left="737" w:hanging="567"/>
    </w:pPr>
    <w:rPr>
      <w:szCs w:val="18"/>
    </w:rPr>
  </w:style>
  <w:style w:type="paragraph" w:styleId="Index2">
    <w:name w:val="index 2"/>
    <w:basedOn w:val="Normal"/>
    <w:next w:val="Normal"/>
    <w:autoRedefine/>
    <w:uiPriority w:val="99"/>
    <w:unhideWhenUsed/>
    <w:rsid w:val="00111E62"/>
    <w:pPr>
      <w:ind w:left="480" w:hanging="240"/>
    </w:pPr>
    <w:rPr>
      <w:rFonts w:asciiTheme="minorHAnsi" w:hAnsiTheme="minorHAnsi"/>
      <w:sz w:val="18"/>
      <w:szCs w:val="18"/>
    </w:rPr>
  </w:style>
  <w:style w:type="paragraph" w:styleId="Index3">
    <w:name w:val="index 3"/>
    <w:basedOn w:val="Normal"/>
    <w:next w:val="Normal"/>
    <w:autoRedefine/>
    <w:uiPriority w:val="99"/>
    <w:unhideWhenUsed/>
    <w:rsid w:val="00111E62"/>
    <w:pPr>
      <w:ind w:left="720" w:hanging="240"/>
    </w:pPr>
    <w:rPr>
      <w:rFonts w:asciiTheme="minorHAnsi" w:hAnsiTheme="minorHAnsi"/>
      <w:sz w:val="18"/>
      <w:szCs w:val="18"/>
    </w:rPr>
  </w:style>
  <w:style w:type="paragraph" w:styleId="Index4">
    <w:name w:val="index 4"/>
    <w:basedOn w:val="Normal"/>
    <w:next w:val="Normal"/>
    <w:autoRedefine/>
    <w:uiPriority w:val="99"/>
    <w:unhideWhenUsed/>
    <w:rsid w:val="00111E62"/>
    <w:pPr>
      <w:ind w:left="960" w:hanging="240"/>
    </w:pPr>
    <w:rPr>
      <w:rFonts w:asciiTheme="minorHAnsi" w:hAnsiTheme="minorHAnsi"/>
      <w:sz w:val="18"/>
      <w:szCs w:val="18"/>
    </w:rPr>
  </w:style>
  <w:style w:type="paragraph" w:styleId="Index5">
    <w:name w:val="index 5"/>
    <w:basedOn w:val="Normal"/>
    <w:next w:val="Normal"/>
    <w:autoRedefine/>
    <w:uiPriority w:val="99"/>
    <w:unhideWhenUsed/>
    <w:rsid w:val="00111E62"/>
    <w:pPr>
      <w:ind w:left="1200" w:hanging="240"/>
    </w:pPr>
    <w:rPr>
      <w:rFonts w:asciiTheme="minorHAnsi" w:hAnsiTheme="minorHAnsi"/>
      <w:sz w:val="18"/>
      <w:szCs w:val="18"/>
    </w:rPr>
  </w:style>
  <w:style w:type="paragraph" w:styleId="Index6">
    <w:name w:val="index 6"/>
    <w:basedOn w:val="Normal"/>
    <w:next w:val="Normal"/>
    <w:autoRedefine/>
    <w:uiPriority w:val="99"/>
    <w:unhideWhenUsed/>
    <w:rsid w:val="00111E62"/>
    <w:pPr>
      <w:ind w:left="1440" w:hanging="240"/>
    </w:pPr>
    <w:rPr>
      <w:rFonts w:asciiTheme="minorHAnsi" w:hAnsiTheme="minorHAnsi"/>
      <w:sz w:val="18"/>
      <w:szCs w:val="18"/>
    </w:rPr>
  </w:style>
  <w:style w:type="paragraph" w:styleId="Index7">
    <w:name w:val="index 7"/>
    <w:basedOn w:val="Normal"/>
    <w:next w:val="Normal"/>
    <w:autoRedefine/>
    <w:uiPriority w:val="99"/>
    <w:unhideWhenUsed/>
    <w:rsid w:val="00111E62"/>
    <w:pPr>
      <w:ind w:left="1680" w:hanging="240"/>
    </w:pPr>
    <w:rPr>
      <w:rFonts w:asciiTheme="minorHAnsi" w:hAnsiTheme="minorHAnsi"/>
      <w:sz w:val="18"/>
      <w:szCs w:val="18"/>
    </w:rPr>
  </w:style>
  <w:style w:type="paragraph" w:styleId="Index8">
    <w:name w:val="index 8"/>
    <w:basedOn w:val="Normal"/>
    <w:next w:val="Normal"/>
    <w:autoRedefine/>
    <w:uiPriority w:val="99"/>
    <w:unhideWhenUsed/>
    <w:rsid w:val="00111E62"/>
    <w:pPr>
      <w:ind w:left="1920" w:hanging="240"/>
    </w:pPr>
    <w:rPr>
      <w:rFonts w:asciiTheme="minorHAnsi" w:hAnsiTheme="minorHAnsi"/>
      <w:sz w:val="18"/>
      <w:szCs w:val="18"/>
    </w:rPr>
  </w:style>
  <w:style w:type="paragraph" w:styleId="Index9">
    <w:name w:val="index 9"/>
    <w:basedOn w:val="Normal"/>
    <w:next w:val="Normal"/>
    <w:autoRedefine/>
    <w:uiPriority w:val="99"/>
    <w:unhideWhenUsed/>
    <w:rsid w:val="00111E62"/>
    <w:pPr>
      <w:ind w:left="2160" w:hanging="240"/>
    </w:pPr>
    <w:rPr>
      <w:rFonts w:asciiTheme="minorHAnsi" w:hAnsiTheme="minorHAnsi"/>
      <w:sz w:val="18"/>
      <w:szCs w:val="18"/>
    </w:rPr>
  </w:style>
  <w:style w:type="character" w:styleId="PageNumber">
    <w:name w:val="page number"/>
    <w:basedOn w:val="DefaultParagraphFont"/>
    <w:uiPriority w:val="99"/>
    <w:semiHidden/>
    <w:unhideWhenUsed/>
    <w:rsid w:val="00111E62"/>
  </w:style>
  <w:style w:type="paragraph" w:styleId="Footer">
    <w:name w:val="footer"/>
    <w:basedOn w:val="Normal"/>
    <w:link w:val="FooterChar"/>
    <w:uiPriority w:val="99"/>
    <w:unhideWhenUsed/>
    <w:rsid w:val="00111E62"/>
    <w:pPr>
      <w:tabs>
        <w:tab w:val="center" w:pos="4703"/>
        <w:tab w:val="right" w:pos="9406"/>
      </w:tabs>
      <w:spacing w:after="0" w:line="240" w:lineRule="auto"/>
    </w:pPr>
  </w:style>
  <w:style w:type="character" w:customStyle="1" w:styleId="FooterChar">
    <w:name w:val="Footer Char"/>
    <w:basedOn w:val="DefaultParagraphFont"/>
    <w:link w:val="Footer"/>
    <w:uiPriority w:val="99"/>
    <w:rsid w:val="00111E62"/>
    <w:rPr>
      <w:rFonts w:eastAsiaTheme="minorHAnsi"/>
      <w:sz w:val="24"/>
      <w:szCs w:val="24"/>
      <w:lang w:val="en-GB" w:eastAsia="en-US"/>
    </w:rPr>
  </w:style>
  <w:style w:type="character" w:styleId="SubtleReference">
    <w:name w:val="Subtle Reference"/>
    <w:basedOn w:val="DefaultParagraphFont"/>
    <w:uiPriority w:val="31"/>
    <w:qFormat/>
    <w:rsid w:val="00111E62"/>
    <w:rPr>
      <w:smallCaps/>
      <w:color w:val="C0504D" w:themeColor="accent2"/>
      <w:u w:val="single"/>
    </w:rPr>
  </w:style>
  <w:style w:type="paragraph" w:styleId="NoSpacing">
    <w:name w:val="No Spacing"/>
    <w:uiPriority w:val="1"/>
    <w:qFormat/>
    <w:rsid w:val="005574A8"/>
    <w:rPr>
      <w:rFonts w:eastAsiaTheme="minorHAnsi" w:cstheme="minorBidi"/>
      <w:sz w:val="20"/>
      <w:lang w:val="en-GB" w:eastAsia="en-US"/>
    </w:rPr>
  </w:style>
  <w:style w:type="paragraph" w:styleId="BalloonText">
    <w:name w:val="Balloon Text"/>
    <w:basedOn w:val="Normal"/>
    <w:link w:val="BalloonTextChar"/>
    <w:uiPriority w:val="99"/>
    <w:semiHidden/>
    <w:unhideWhenUsed/>
    <w:rsid w:val="00111E6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11E62"/>
    <w:rPr>
      <w:rFonts w:ascii="Lucida Grande" w:eastAsiaTheme="minorHAnsi" w:hAnsi="Lucida Grande" w:cs="Lucida Grande"/>
      <w:sz w:val="18"/>
      <w:szCs w:val="18"/>
      <w:lang w:val="en-GB" w:eastAsia="en-US"/>
    </w:rPr>
  </w:style>
  <w:style w:type="character" w:customStyle="1" w:styleId="Heading4Char">
    <w:name w:val="Heading 4 Char"/>
    <w:basedOn w:val="DefaultParagraphFont"/>
    <w:link w:val="Heading4"/>
    <w:uiPriority w:val="9"/>
    <w:rsid w:val="003747D2"/>
    <w:rPr>
      <w:rFonts w:eastAsiaTheme="majorEastAsia" w:cstheme="majorBidi"/>
      <w:b/>
      <w:bCs/>
      <w:i/>
      <w:iCs/>
      <w:sz w:val="24"/>
      <w:szCs w:val="24"/>
      <w:lang w:val="en-GB" w:eastAsia="en-US"/>
    </w:rPr>
  </w:style>
  <w:style w:type="character" w:customStyle="1" w:styleId="Heading5Char">
    <w:name w:val="Heading 5 Char"/>
    <w:basedOn w:val="DefaultParagraphFont"/>
    <w:link w:val="Heading5"/>
    <w:uiPriority w:val="9"/>
    <w:semiHidden/>
    <w:rsid w:val="00111E62"/>
    <w:rPr>
      <w:rFonts w:asciiTheme="majorHAnsi" w:eastAsiaTheme="majorEastAsia" w:hAnsiTheme="majorHAnsi" w:cstheme="majorBidi"/>
      <w:color w:val="243F60" w:themeColor="accent1" w:themeShade="7F"/>
      <w:sz w:val="24"/>
      <w:szCs w:val="24"/>
      <w:lang w:val="en-GB" w:eastAsia="en-US"/>
    </w:rPr>
  </w:style>
  <w:style w:type="character" w:customStyle="1" w:styleId="Heading6Char">
    <w:name w:val="Heading 6 Char"/>
    <w:basedOn w:val="DefaultParagraphFont"/>
    <w:link w:val="Heading6"/>
    <w:uiPriority w:val="9"/>
    <w:semiHidden/>
    <w:rsid w:val="00111E62"/>
    <w:rPr>
      <w:rFonts w:asciiTheme="majorHAnsi" w:eastAsiaTheme="majorEastAsia" w:hAnsiTheme="majorHAnsi" w:cstheme="majorBidi"/>
      <w:i/>
      <w:iCs/>
      <w:color w:val="243F60" w:themeColor="accent1" w:themeShade="7F"/>
      <w:sz w:val="24"/>
      <w:szCs w:val="24"/>
      <w:lang w:val="en-GB" w:eastAsia="en-US"/>
    </w:rPr>
  </w:style>
  <w:style w:type="character" w:customStyle="1" w:styleId="Heading7Char">
    <w:name w:val="Heading 7 Char"/>
    <w:basedOn w:val="DefaultParagraphFont"/>
    <w:link w:val="Heading7"/>
    <w:uiPriority w:val="9"/>
    <w:semiHidden/>
    <w:rsid w:val="00111E62"/>
    <w:rPr>
      <w:rFonts w:asciiTheme="majorHAnsi" w:eastAsiaTheme="majorEastAsia" w:hAnsiTheme="majorHAnsi" w:cstheme="majorBidi"/>
      <w:i/>
      <w:iCs/>
      <w:color w:val="404040" w:themeColor="text1" w:themeTint="BF"/>
      <w:sz w:val="24"/>
      <w:szCs w:val="24"/>
      <w:lang w:val="en-GB" w:eastAsia="en-US"/>
    </w:rPr>
  </w:style>
  <w:style w:type="character" w:customStyle="1" w:styleId="Heading8Char">
    <w:name w:val="Heading 8 Char"/>
    <w:basedOn w:val="DefaultParagraphFont"/>
    <w:link w:val="Heading8"/>
    <w:uiPriority w:val="9"/>
    <w:semiHidden/>
    <w:rsid w:val="00111E62"/>
    <w:rPr>
      <w:rFonts w:asciiTheme="majorHAnsi" w:eastAsiaTheme="majorEastAsia" w:hAnsiTheme="majorHAnsi" w:cstheme="majorBidi"/>
      <w:color w:val="404040" w:themeColor="text1" w:themeTint="BF"/>
      <w:sz w:val="20"/>
      <w:szCs w:val="20"/>
      <w:lang w:val="en-GB" w:eastAsia="en-US"/>
    </w:rPr>
  </w:style>
  <w:style w:type="character" w:customStyle="1" w:styleId="Heading9Char">
    <w:name w:val="Heading 9 Char"/>
    <w:basedOn w:val="DefaultParagraphFont"/>
    <w:link w:val="Heading9"/>
    <w:uiPriority w:val="9"/>
    <w:semiHidden/>
    <w:rsid w:val="00111E62"/>
    <w:rPr>
      <w:rFonts w:asciiTheme="majorHAnsi" w:eastAsiaTheme="majorEastAsia" w:hAnsiTheme="majorHAnsi" w:cstheme="majorBidi"/>
      <w:i/>
      <w:iCs/>
      <w:color w:val="404040" w:themeColor="text1" w:themeTint="BF"/>
      <w:sz w:val="20"/>
      <w:szCs w:val="20"/>
      <w:lang w:val="en-GB" w:eastAsia="en-US"/>
    </w:rPr>
  </w:style>
  <w:style w:type="paragraph" w:styleId="IndexHeading">
    <w:name w:val="index heading"/>
    <w:basedOn w:val="Normal"/>
    <w:next w:val="Index1"/>
    <w:uiPriority w:val="99"/>
    <w:unhideWhenUsed/>
    <w:rsid w:val="00111E62"/>
    <w:pPr>
      <w:pBdr>
        <w:top w:val="single" w:sz="12" w:space="0" w:color="auto"/>
      </w:pBdr>
      <w:spacing w:before="360" w:after="240"/>
      <w:jc w:val="left"/>
    </w:pPr>
    <w:rPr>
      <w:rFonts w:asciiTheme="minorHAnsi" w:hAnsiTheme="minorHAnsi"/>
      <w:i/>
      <w:sz w:val="26"/>
      <w:szCs w:val="26"/>
    </w:rPr>
  </w:style>
  <w:style w:type="paragraph" w:styleId="TOC1">
    <w:name w:val="toc 1"/>
    <w:next w:val="Normal"/>
    <w:autoRedefine/>
    <w:uiPriority w:val="39"/>
    <w:unhideWhenUsed/>
    <w:rsid w:val="001E2775"/>
    <w:pPr>
      <w:spacing w:before="120" w:line="320" w:lineRule="exact"/>
      <w:ind w:right="227"/>
      <w:contextualSpacing/>
    </w:pPr>
    <w:rPr>
      <w:rFonts w:eastAsiaTheme="minorHAnsi"/>
      <w:b/>
      <w:sz w:val="24"/>
      <w:szCs w:val="24"/>
      <w:lang w:val="en-GB" w:eastAsia="en-US"/>
    </w:rPr>
  </w:style>
  <w:style w:type="paragraph" w:styleId="TOC2">
    <w:name w:val="toc 2"/>
    <w:basedOn w:val="Normal"/>
    <w:next w:val="Normal"/>
    <w:autoRedefine/>
    <w:uiPriority w:val="39"/>
    <w:unhideWhenUsed/>
    <w:rsid w:val="001E2775"/>
    <w:pPr>
      <w:spacing w:after="0"/>
      <w:ind w:left="240"/>
      <w:jc w:val="left"/>
    </w:pPr>
    <w:rPr>
      <w:b/>
      <w:sz w:val="22"/>
      <w:szCs w:val="22"/>
    </w:rPr>
  </w:style>
  <w:style w:type="paragraph" w:styleId="TOC3">
    <w:name w:val="toc 3"/>
    <w:basedOn w:val="Normal"/>
    <w:next w:val="Normal"/>
    <w:autoRedefine/>
    <w:uiPriority w:val="39"/>
    <w:unhideWhenUsed/>
    <w:rsid w:val="001E2775"/>
    <w:pPr>
      <w:spacing w:after="0"/>
      <w:ind w:left="480"/>
      <w:jc w:val="left"/>
    </w:pPr>
    <w:rPr>
      <w:sz w:val="22"/>
      <w:szCs w:val="22"/>
    </w:rPr>
  </w:style>
  <w:style w:type="paragraph" w:styleId="TOC4">
    <w:name w:val="toc 4"/>
    <w:basedOn w:val="Normal"/>
    <w:next w:val="Normal"/>
    <w:autoRedefine/>
    <w:uiPriority w:val="39"/>
    <w:unhideWhenUsed/>
    <w:rsid w:val="00111E62"/>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111E62"/>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111E62"/>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111E62"/>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111E62"/>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111E62"/>
    <w:pPr>
      <w:spacing w:after="0"/>
      <w:ind w:left="1920"/>
      <w:jc w:val="left"/>
    </w:pPr>
    <w:rPr>
      <w:rFonts w:asciiTheme="minorHAnsi" w:hAnsiTheme="minorHAnsi"/>
      <w:sz w:val="20"/>
      <w:szCs w:val="20"/>
    </w:rPr>
  </w:style>
  <w:style w:type="paragraph" w:styleId="Bibliography">
    <w:name w:val="Bibliography"/>
    <w:basedOn w:val="Normal"/>
    <w:next w:val="Normal"/>
    <w:uiPriority w:val="37"/>
    <w:unhideWhenUsed/>
    <w:rsid w:val="00817BEE"/>
    <w:pPr>
      <w:ind w:left="454" w:hanging="284"/>
      <w:jc w:val="left"/>
    </w:pPr>
  </w:style>
  <w:style w:type="paragraph" w:styleId="Header">
    <w:name w:val="header"/>
    <w:basedOn w:val="Normal"/>
    <w:link w:val="HeaderChar"/>
    <w:uiPriority w:val="99"/>
    <w:unhideWhenUsed/>
    <w:rsid w:val="007E2625"/>
    <w:pPr>
      <w:tabs>
        <w:tab w:val="center" w:pos="4703"/>
        <w:tab w:val="right" w:pos="9406"/>
      </w:tabs>
      <w:spacing w:after="0" w:line="240" w:lineRule="auto"/>
    </w:pPr>
  </w:style>
  <w:style w:type="character" w:customStyle="1" w:styleId="HeaderChar">
    <w:name w:val="Header Char"/>
    <w:basedOn w:val="DefaultParagraphFont"/>
    <w:link w:val="Header"/>
    <w:uiPriority w:val="99"/>
    <w:rsid w:val="007E2625"/>
    <w:rPr>
      <w:rFonts w:eastAsiaTheme="minorHAnsi"/>
      <w:sz w:val="24"/>
      <w:szCs w:val="24"/>
      <w:lang w:val="en-GB"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885"/>
    <w:pPr>
      <w:spacing w:after="200" w:line="320" w:lineRule="exact"/>
      <w:ind w:left="170" w:right="227" w:firstLine="284"/>
      <w:contextualSpacing/>
      <w:jc w:val="both"/>
    </w:pPr>
    <w:rPr>
      <w:rFonts w:ascii="Garamond" w:eastAsiaTheme="minorHAnsi" w:hAnsi="Garamond"/>
      <w:sz w:val="24"/>
      <w:szCs w:val="24"/>
      <w:lang w:val="en-GB" w:eastAsia="en-US"/>
    </w:rPr>
  </w:style>
  <w:style w:type="paragraph" w:styleId="Heading1">
    <w:name w:val="heading 1"/>
    <w:basedOn w:val="Normal"/>
    <w:next w:val="Normal"/>
    <w:link w:val="Heading1Char"/>
    <w:uiPriority w:val="9"/>
    <w:qFormat/>
    <w:rsid w:val="007E2625"/>
    <w:pPr>
      <w:keepNext/>
      <w:keepLines/>
      <w:spacing w:before="480" w:after="240" w:line="240" w:lineRule="auto"/>
      <w:ind w:firstLine="0"/>
      <w:jc w:val="left"/>
      <w:outlineLvl w:val="0"/>
    </w:pPr>
    <w:rPr>
      <w:rFonts w:eastAsiaTheme="majorEastAsia"/>
      <w:b/>
      <w:bCs/>
      <w:sz w:val="36"/>
      <w:szCs w:val="56"/>
    </w:rPr>
  </w:style>
  <w:style w:type="paragraph" w:styleId="Heading2">
    <w:name w:val="heading 2"/>
    <w:basedOn w:val="Normal"/>
    <w:next w:val="Normal"/>
    <w:link w:val="Heading2Char"/>
    <w:uiPriority w:val="9"/>
    <w:unhideWhenUsed/>
    <w:qFormat/>
    <w:rsid w:val="003747D2"/>
    <w:pPr>
      <w:keepNext/>
      <w:keepLines/>
      <w:spacing w:before="360" w:after="120"/>
      <w:ind w:firstLine="0"/>
      <w:outlineLvl w:val="1"/>
    </w:pPr>
    <w:rPr>
      <w:rFonts w:eastAsiaTheme="majorEastAsia"/>
      <w:b/>
      <w:bCs/>
      <w:sz w:val="32"/>
      <w:szCs w:val="32"/>
    </w:rPr>
  </w:style>
  <w:style w:type="paragraph" w:styleId="Heading3">
    <w:name w:val="heading 3"/>
    <w:basedOn w:val="Heading2"/>
    <w:next w:val="Normal"/>
    <w:link w:val="Heading3Char"/>
    <w:uiPriority w:val="9"/>
    <w:unhideWhenUsed/>
    <w:qFormat/>
    <w:rsid w:val="003747D2"/>
    <w:pPr>
      <w:outlineLvl w:val="2"/>
    </w:pPr>
    <w:rPr>
      <w:i/>
      <w:sz w:val="28"/>
      <w:szCs w:val="24"/>
    </w:rPr>
  </w:style>
  <w:style w:type="paragraph" w:styleId="Heading4">
    <w:name w:val="heading 4"/>
    <w:basedOn w:val="Normal"/>
    <w:next w:val="Normal"/>
    <w:link w:val="Heading4Char"/>
    <w:uiPriority w:val="9"/>
    <w:unhideWhenUsed/>
    <w:qFormat/>
    <w:rsid w:val="003747D2"/>
    <w:pPr>
      <w:keepNext/>
      <w:keepLines/>
      <w:spacing w:before="200" w:after="0"/>
      <w:ind w:firstLine="0"/>
      <w:jc w:val="left"/>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111E62"/>
    <w:pPr>
      <w:keepNext/>
      <w:keepLines/>
      <w:numPr>
        <w:ilvl w:val="4"/>
        <w:numId w:val="1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11E62"/>
    <w:pPr>
      <w:keepNext/>
      <w:keepLines/>
      <w:numPr>
        <w:ilvl w:val="5"/>
        <w:numId w:val="1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11E62"/>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11E62"/>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11E62"/>
    <w:pPr>
      <w:keepNext/>
      <w:keepLines/>
      <w:numPr>
        <w:ilvl w:val="8"/>
        <w:numId w:val="1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E62"/>
    <w:pPr>
      <w:spacing w:after="0" w:line="240" w:lineRule="auto"/>
      <w:ind w:left="720"/>
    </w:pPr>
    <w:rPr>
      <w:rFonts w:eastAsiaTheme="minorEastAsia"/>
      <w:lang w:val="en-US" w:eastAsia="fr-FR"/>
    </w:rPr>
  </w:style>
  <w:style w:type="character" w:styleId="Hyperlink">
    <w:name w:val="Hyperlink"/>
    <w:basedOn w:val="DefaultParagraphFont"/>
    <w:uiPriority w:val="99"/>
    <w:unhideWhenUsed/>
    <w:rsid w:val="00FF4E36"/>
    <w:rPr>
      <w:color w:val="0000FF" w:themeColor="hyperlink"/>
      <w:u w:val="single"/>
    </w:rPr>
  </w:style>
  <w:style w:type="character" w:customStyle="1" w:styleId="Heading1Char">
    <w:name w:val="Heading 1 Char"/>
    <w:basedOn w:val="DefaultParagraphFont"/>
    <w:link w:val="Heading1"/>
    <w:uiPriority w:val="9"/>
    <w:rsid w:val="007E2625"/>
    <w:rPr>
      <w:rFonts w:eastAsiaTheme="majorEastAsia"/>
      <w:b/>
      <w:bCs/>
      <w:sz w:val="36"/>
      <w:szCs w:val="56"/>
      <w:lang w:val="en-GB" w:eastAsia="en-US"/>
    </w:rPr>
  </w:style>
  <w:style w:type="paragraph" w:styleId="Title">
    <w:name w:val="Title"/>
    <w:basedOn w:val="Normal"/>
    <w:next w:val="Normal"/>
    <w:link w:val="TitleChar"/>
    <w:uiPriority w:val="10"/>
    <w:qFormat/>
    <w:rsid w:val="00AC5423"/>
    <w:pPr>
      <w:spacing w:before="120" w:after="120" w:line="240" w:lineRule="auto"/>
    </w:pPr>
    <w:rPr>
      <w:rFonts w:eastAsiaTheme="majorEastAsia" w:cstheme="majorBidi"/>
      <w:spacing w:val="5"/>
      <w:kern w:val="28"/>
      <w:sz w:val="48"/>
      <w:szCs w:val="52"/>
    </w:rPr>
  </w:style>
  <w:style w:type="character" w:customStyle="1" w:styleId="TitleChar">
    <w:name w:val="Title Char"/>
    <w:basedOn w:val="DefaultParagraphFont"/>
    <w:link w:val="Title"/>
    <w:uiPriority w:val="10"/>
    <w:rsid w:val="00AC5423"/>
    <w:rPr>
      <w:rFonts w:ascii="Garamond" w:eastAsiaTheme="majorEastAsia" w:hAnsi="Garamond" w:cstheme="majorBidi"/>
      <w:spacing w:val="5"/>
      <w:kern w:val="28"/>
      <w:sz w:val="48"/>
      <w:szCs w:val="52"/>
      <w:lang w:val="en-GB" w:eastAsia="en-US"/>
    </w:rPr>
  </w:style>
  <w:style w:type="character" w:customStyle="1" w:styleId="Heading2Char">
    <w:name w:val="Heading 2 Char"/>
    <w:basedOn w:val="DefaultParagraphFont"/>
    <w:link w:val="Heading2"/>
    <w:uiPriority w:val="9"/>
    <w:rsid w:val="003747D2"/>
    <w:rPr>
      <w:rFonts w:eastAsiaTheme="majorEastAsia"/>
      <w:b/>
      <w:bCs/>
      <w:sz w:val="32"/>
      <w:szCs w:val="32"/>
      <w:lang w:val="en-GB" w:eastAsia="en-US"/>
    </w:rPr>
  </w:style>
  <w:style w:type="paragraph" w:styleId="NormalWeb">
    <w:name w:val="Normal (Web)"/>
    <w:basedOn w:val="Normal"/>
    <w:uiPriority w:val="99"/>
    <w:unhideWhenUsed/>
    <w:rsid w:val="00111E62"/>
    <w:pPr>
      <w:spacing w:before="100" w:beforeAutospacing="1" w:after="100" w:afterAutospacing="1" w:line="240" w:lineRule="auto"/>
    </w:pPr>
    <w:rPr>
      <w:rFonts w:ascii="Times" w:eastAsiaTheme="minorEastAsia" w:hAnsi="Times"/>
      <w:sz w:val="20"/>
      <w:szCs w:val="20"/>
      <w:lang w:val="en-US" w:eastAsia="fr-FR"/>
    </w:rPr>
  </w:style>
  <w:style w:type="character" w:customStyle="1" w:styleId="Heading3Char">
    <w:name w:val="Heading 3 Char"/>
    <w:basedOn w:val="DefaultParagraphFont"/>
    <w:link w:val="Heading3"/>
    <w:uiPriority w:val="9"/>
    <w:rsid w:val="003747D2"/>
    <w:rPr>
      <w:rFonts w:eastAsiaTheme="majorEastAsia"/>
      <w:b/>
      <w:bCs/>
      <w:i/>
      <w:sz w:val="28"/>
      <w:szCs w:val="24"/>
      <w:lang w:val="en-GB" w:eastAsia="en-US"/>
    </w:rPr>
  </w:style>
  <w:style w:type="table" w:styleId="TableGrid">
    <w:name w:val="Table Grid"/>
    <w:basedOn w:val="TableNormal"/>
    <w:uiPriority w:val="59"/>
    <w:rsid w:val="005976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1E62"/>
    <w:rPr>
      <w:i/>
      <w:iCs/>
    </w:rPr>
  </w:style>
  <w:style w:type="paragraph" w:styleId="Quote">
    <w:name w:val="Quote"/>
    <w:basedOn w:val="Normal"/>
    <w:next w:val="Normal"/>
    <w:link w:val="QuoteChar"/>
    <w:uiPriority w:val="29"/>
    <w:qFormat/>
    <w:rsid w:val="003D60A1"/>
    <w:pPr>
      <w:spacing w:line="240" w:lineRule="auto"/>
      <w:ind w:left="737" w:right="680" w:firstLine="397"/>
    </w:pPr>
    <w:rPr>
      <w:iCs/>
      <w:color w:val="000000" w:themeColor="text1"/>
      <w:sz w:val="22"/>
    </w:rPr>
  </w:style>
  <w:style w:type="character" w:customStyle="1" w:styleId="QuoteChar">
    <w:name w:val="Quote Char"/>
    <w:basedOn w:val="DefaultParagraphFont"/>
    <w:link w:val="Quote"/>
    <w:uiPriority w:val="29"/>
    <w:rsid w:val="003D60A1"/>
    <w:rPr>
      <w:rFonts w:ascii="Baskerville" w:eastAsiaTheme="minorHAnsi" w:hAnsi="Baskerville"/>
      <w:iCs/>
      <w:color w:val="000000" w:themeColor="text1"/>
      <w:szCs w:val="24"/>
      <w:lang w:val="en-GB" w:eastAsia="en-US"/>
    </w:rPr>
  </w:style>
  <w:style w:type="paragraph" w:styleId="TOCHeading">
    <w:name w:val="TOC Heading"/>
    <w:basedOn w:val="Heading1"/>
    <w:next w:val="Normal"/>
    <w:uiPriority w:val="39"/>
    <w:unhideWhenUsed/>
    <w:qFormat/>
    <w:rsid w:val="00111E62"/>
    <w:pPr>
      <w:spacing w:line="276" w:lineRule="auto"/>
      <w:outlineLvl w:val="9"/>
    </w:pPr>
    <w:rPr>
      <w:color w:val="365F91" w:themeColor="accent1" w:themeShade="BF"/>
      <w:sz w:val="28"/>
      <w:szCs w:val="28"/>
    </w:rPr>
  </w:style>
  <w:style w:type="paragraph" w:styleId="Index1">
    <w:name w:val="index 1"/>
    <w:aliases w:val="Bibliography"/>
    <w:basedOn w:val="Normal"/>
    <w:next w:val="Normal"/>
    <w:autoRedefine/>
    <w:uiPriority w:val="99"/>
    <w:unhideWhenUsed/>
    <w:rsid w:val="00111E62"/>
    <w:pPr>
      <w:ind w:left="737" w:hanging="567"/>
    </w:pPr>
    <w:rPr>
      <w:szCs w:val="18"/>
    </w:rPr>
  </w:style>
  <w:style w:type="paragraph" w:styleId="Index2">
    <w:name w:val="index 2"/>
    <w:basedOn w:val="Normal"/>
    <w:next w:val="Normal"/>
    <w:autoRedefine/>
    <w:uiPriority w:val="99"/>
    <w:unhideWhenUsed/>
    <w:rsid w:val="00111E62"/>
    <w:pPr>
      <w:ind w:left="480" w:hanging="240"/>
    </w:pPr>
    <w:rPr>
      <w:rFonts w:asciiTheme="minorHAnsi" w:hAnsiTheme="minorHAnsi"/>
      <w:sz w:val="18"/>
      <w:szCs w:val="18"/>
    </w:rPr>
  </w:style>
  <w:style w:type="paragraph" w:styleId="Index3">
    <w:name w:val="index 3"/>
    <w:basedOn w:val="Normal"/>
    <w:next w:val="Normal"/>
    <w:autoRedefine/>
    <w:uiPriority w:val="99"/>
    <w:unhideWhenUsed/>
    <w:rsid w:val="00111E62"/>
    <w:pPr>
      <w:ind w:left="720" w:hanging="240"/>
    </w:pPr>
    <w:rPr>
      <w:rFonts w:asciiTheme="minorHAnsi" w:hAnsiTheme="minorHAnsi"/>
      <w:sz w:val="18"/>
      <w:szCs w:val="18"/>
    </w:rPr>
  </w:style>
  <w:style w:type="paragraph" w:styleId="Index4">
    <w:name w:val="index 4"/>
    <w:basedOn w:val="Normal"/>
    <w:next w:val="Normal"/>
    <w:autoRedefine/>
    <w:uiPriority w:val="99"/>
    <w:unhideWhenUsed/>
    <w:rsid w:val="00111E62"/>
    <w:pPr>
      <w:ind w:left="960" w:hanging="240"/>
    </w:pPr>
    <w:rPr>
      <w:rFonts w:asciiTheme="minorHAnsi" w:hAnsiTheme="minorHAnsi"/>
      <w:sz w:val="18"/>
      <w:szCs w:val="18"/>
    </w:rPr>
  </w:style>
  <w:style w:type="paragraph" w:styleId="Index5">
    <w:name w:val="index 5"/>
    <w:basedOn w:val="Normal"/>
    <w:next w:val="Normal"/>
    <w:autoRedefine/>
    <w:uiPriority w:val="99"/>
    <w:unhideWhenUsed/>
    <w:rsid w:val="00111E62"/>
    <w:pPr>
      <w:ind w:left="1200" w:hanging="240"/>
    </w:pPr>
    <w:rPr>
      <w:rFonts w:asciiTheme="minorHAnsi" w:hAnsiTheme="minorHAnsi"/>
      <w:sz w:val="18"/>
      <w:szCs w:val="18"/>
    </w:rPr>
  </w:style>
  <w:style w:type="paragraph" w:styleId="Index6">
    <w:name w:val="index 6"/>
    <w:basedOn w:val="Normal"/>
    <w:next w:val="Normal"/>
    <w:autoRedefine/>
    <w:uiPriority w:val="99"/>
    <w:unhideWhenUsed/>
    <w:rsid w:val="00111E62"/>
    <w:pPr>
      <w:ind w:left="1440" w:hanging="240"/>
    </w:pPr>
    <w:rPr>
      <w:rFonts w:asciiTheme="minorHAnsi" w:hAnsiTheme="minorHAnsi"/>
      <w:sz w:val="18"/>
      <w:szCs w:val="18"/>
    </w:rPr>
  </w:style>
  <w:style w:type="paragraph" w:styleId="Index7">
    <w:name w:val="index 7"/>
    <w:basedOn w:val="Normal"/>
    <w:next w:val="Normal"/>
    <w:autoRedefine/>
    <w:uiPriority w:val="99"/>
    <w:unhideWhenUsed/>
    <w:rsid w:val="00111E62"/>
    <w:pPr>
      <w:ind w:left="1680" w:hanging="240"/>
    </w:pPr>
    <w:rPr>
      <w:rFonts w:asciiTheme="minorHAnsi" w:hAnsiTheme="minorHAnsi"/>
      <w:sz w:val="18"/>
      <w:szCs w:val="18"/>
    </w:rPr>
  </w:style>
  <w:style w:type="paragraph" w:styleId="Index8">
    <w:name w:val="index 8"/>
    <w:basedOn w:val="Normal"/>
    <w:next w:val="Normal"/>
    <w:autoRedefine/>
    <w:uiPriority w:val="99"/>
    <w:unhideWhenUsed/>
    <w:rsid w:val="00111E62"/>
    <w:pPr>
      <w:ind w:left="1920" w:hanging="240"/>
    </w:pPr>
    <w:rPr>
      <w:rFonts w:asciiTheme="minorHAnsi" w:hAnsiTheme="minorHAnsi"/>
      <w:sz w:val="18"/>
      <w:szCs w:val="18"/>
    </w:rPr>
  </w:style>
  <w:style w:type="paragraph" w:styleId="Index9">
    <w:name w:val="index 9"/>
    <w:basedOn w:val="Normal"/>
    <w:next w:val="Normal"/>
    <w:autoRedefine/>
    <w:uiPriority w:val="99"/>
    <w:unhideWhenUsed/>
    <w:rsid w:val="00111E62"/>
    <w:pPr>
      <w:ind w:left="2160" w:hanging="240"/>
    </w:pPr>
    <w:rPr>
      <w:rFonts w:asciiTheme="minorHAnsi" w:hAnsiTheme="minorHAnsi"/>
      <w:sz w:val="18"/>
      <w:szCs w:val="18"/>
    </w:rPr>
  </w:style>
  <w:style w:type="character" w:styleId="PageNumber">
    <w:name w:val="page number"/>
    <w:basedOn w:val="DefaultParagraphFont"/>
    <w:uiPriority w:val="99"/>
    <w:semiHidden/>
    <w:unhideWhenUsed/>
    <w:rsid w:val="00111E62"/>
  </w:style>
  <w:style w:type="paragraph" w:styleId="Footer">
    <w:name w:val="footer"/>
    <w:basedOn w:val="Normal"/>
    <w:link w:val="FooterChar"/>
    <w:uiPriority w:val="99"/>
    <w:unhideWhenUsed/>
    <w:rsid w:val="00111E62"/>
    <w:pPr>
      <w:tabs>
        <w:tab w:val="center" w:pos="4703"/>
        <w:tab w:val="right" w:pos="9406"/>
      </w:tabs>
      <w:spacing w:after="0" w:line="240" w:lineRule="auto"/>
    </w:pPr>
  </w:style>
  <w:style w:type="character" w:customStyle="1" w:styleId="FooterChar">
    <w:name w:val="Footer Char"/>
    <w:basedOn w:val="DefaultParagraphFont"/>
    <w:link w:val="Footer"/>
    <w:uiPriority w:val="99"/>
    <w:rsid w:val="00111E62"/>
    <w:rPr>
      <w:rFonts w:eastAsiaTheme="minorHAnsi"/>
      <w:sz w:val="24"/>
      <w:szCs w:val="24"/>
      <w:lang w:val="en-GB" w:eastAsia="en-US"/>
    </w:rPr>
  </w:style>
  <w:style w:type="character" w:styleId="SubtleReference">
    <w:name w:val="Subtle Reference"/>
    <w:basedOn w:val="DefaultParagraphFont"/>
    <w:uiPriority w:val="31"/>
    <w:qFormat/>
    <w:rsid w:val="00111E62"/>
    <w:rPr>
      <w:smallCaps/>
      <w:color w:val="C0504D" w:themeColor="accent2"/>
      <w:u w:val="single"/>
    </w:rPr>
  </w:style>
  <w:style w:type="paragraph" w:styleId="NoSpacing">
    <w:name w:val="No Spacing"/>
    <w:uiPriority w:val="1"/>
    <w:qFormat/>
    <w:rsid w:val="005574A8"/>
    <w:rPr>
      <w:rFonts w:eastAsiaTheme="minorHAnsi" w:cstheme="minorBidi"/>
      <w:sz w:val="20"/>
      <w:lang w:val="en-GB" w:eastAsia="en-US"/>
    </w:rPr>
  </w:style>
  <w:style w:type="paragraph" w:styleId="BalloonText">
    <w:name w:val="Balloon Text"/>
    <w:basedOn w:val="Normal"/>
    <w:link w:val="BalloonTextChar"/>
    <w:uiPriority w:val="99"/>
    <w:semiHidden/>
    <w:unhideWhenUsed/>
    <w:rsid w:val="00111E6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11E62"/>
    <w:rPr>
      <w:rFonts w:ascii="Lucida Grande" w:eastAsiaTheme="minorHAnsi" w:hAnsi="Lucida Grande" w:cs="Lucida Grande"/>
      <w:sz w:val="18"/>
      <w:szCs w:val="18"/>
      <w:lang w:val="en-GB" w:eastAsia="en-US"/>
    </w:rPr>
  </w:style>
  <w:style w:type="character" w:customStyle="1" w:styleId="Heading4Char">
    <w:name w:val="Heading 4 Char"/>
    <w:basedOn w:val="DefaultParagraphFont"/>
    <w:link w:val="Heading4"/>
    <w:uiPriority w:val="9"/>
    <w:rsid w:val="003747D2"/>
    <w:rPr>
      <w:rFonts w:eastAsiaTheme="majorEastAsia" w:cstheme="majorBidi"/>
      <w:b/>
      <w:bCs/>
      <w:i/>
      <w:iCs/>
      <w:sz w:val="24"/>
      <w:szCs w:val="24"/>
      <w:lang w:val="en-GB" w:eastAsia="en-US"/>
    </w:rPr>
  </w:style>
  <w:style w:type="character" w:customStyle="1" w:styleId="Heading5Char">
    <w:name w:val="Heading 5 Char"/>
    <w:basedOn w:val="DefaultParagraphFont"/>
    <w:link w:val="Heading5"/>
    <w:uiPriority w:val="9"/>
    <w:semiHidden/>
    <w:rsid w:val="00111E62"/>
    <w:rPr>
      <w:rFonts w:asciiTheme="majorHAnsi" w:eastAsiaTheme="majorEastAsia" w:hAnsiTheme="majorHAnsi" w:cstheme="majorBidi"/>
      <w:color w:val="243F60" w:themeColor="accent1" w:themeShade="7F"/>
      <w:sz w:val="24"/>
      <w:szCs w:val="24"/>
      <w:lang w:val="en-GB" w:eastAsia="en-US"/>
    </w:rPr>
  </w:style>
  <w:style w:type="character" w:customStyle="1" w:styleId="Heading6Char">
    <w:name w:val="Heading 6 Char"/>
    <w:basedOn w:val="DefaultParagraphFont"/>
    <w:link w:val="Heading6"/>
    <w:uiPriority w:val="9"/>
    <w:semiHidden/>
    <w:rsid w:val="00111E62"/>
    <w:rPr>
      <w:rFonts w:asciiTheme="majorHAnsi" w:eastAsiaTheme="majorEastAsia" w:hAnsiTheme="majorHAnsi" w:cstheme="majorBidi"/>
      <w:i/>
      <w:iCs/>
      <w:color w:val="243F60" w:themeColor="accent1" w:themeShade="7F"/>
      <w:sz w:val="24"/>
      <w:szCs w:val="24"/>
      <w:lang w:val="en-GB" w:eastAsia="en-US"/>
    </w:rPr>
  </w:style>
  <w:style w:type="character" w:customStyle="1" w:styleId="Heading7Char">
    <w:name w:val="Heading 7 Char"/>
    <w:basedOn w:val="DefaultParagraphFont"/>
    <w:link w:val="Heading7"/>
    <w:uiPriority w:val="9"/>
    <w:semiHidden/>
    <w:rsid w:val="00111E62"/>
    <w:rPr>
      <w:rFonts w:asciiTheme="majorHAnsi" w:eastAsiaTheme="majorEastAsia" w:hAnsiTheme="majorHAnsi" w:cstheme="majorBidi"/>
      <w:i/>
      <w:iCs/>
      <w:color w:val="404040" w:themeColor="text1" w:themeTint="BF"/>
      <w:sz w:val="24"/>
      <w:szCs w:val="24"/>
      <w:lang w:val="en-GB" w:eastAsia="en-US"/>
    </w:rPr>
  </w:style>
  <w:style w:type="character" w:customStyle="1" w:styleId="Heading8Char">
    <w:name w:val="Heading 8 Char"/>
    <w:basedOn w:val="DefaultParagraphFont"/>
    <w:link w:val="Heading8"/>
    <w:uiPriority w:val="9"/>
    <w:semiHidden/>
    <w:rsid w:val="00111E62"/>
    <w:rPr>
      <w:rFonts w:asciiTheme="majorHAnsi" w:eastAsiaTheme="majorEastAsia" w:hAnsiTheme="majorHAnsi" w:cstheme="majorBidi"/>
      <w:color w:val="404040" w:themeColor="text1" w:themeTint="BF"/>
      <w:sz w:val="20"/>
      <w:szCs w:val="20"/>
      <w:lang w:val="en-GB" w:eastAsia="en-US"/>
    </w:rPr>
  </w:style>
  <w:style w:type="character" w:customStyle="1" w:styleId="Heading9Char">
    <w:name w:val="Heading 9 Char"/>
    <w:basedOn w:val="DefaultParagraphFont"/>
    <w:link w:val="Heading9"/>
    <w:uiPriority w:val="9"/>
    <w:semiHidden/>
    <w:rsid w:val="00111E62"/>
    <w:rPr>
      <w:rFonts w:asciiTheme="majorHAnsi" w:eastAsiaTheme="majorEastAsia" w:hAnsiTheme="majorHAnsi" w:cstheme="majorBidi"/>
      <w:i/>
      <w:iCs/>
      <w:color w:val="404040" w:themeColor="text1" w:themeTint="BF"/>
      <w:sz w:val="20"/>
      <w:szCs w:val="20"/>
      <w:lang w:val="en-GB" w:eastAsia="en-US"/>
    </w:rPr>
  </w:style>
  <w:style w:type="paragraph" w:styleId="IndexHeading">
    <w:name w:val="index heading"/>
    <w:basedOn w:val="Normal"/>
    <w:next w:val="Index1"/>
    <w:uiPriority w:val="99"/>
    <w:unhideWhenUsed/>
    <w:rsid w:val="00111E62"/>
    <w:pPr>
      <w:pBdr>
        <w:top w:val="single" w:sz="12" w:space="0" w:color="auto"/>
      </w:pBdr>
      <w:spacing w:before="360" w:after="240"/>
      <w:jc w:val="left"/>
    </w:pPr>
    <w:rPr>
      <w:rFonts w:asciiTheme="minorHAnsi" w:hAnsiTheme="minorHAnsi"/>
      <w:i/>
      <w:sz w:val="26"/>
      <w:szCs w:val="26"/>
    </w:rPr>
  </w:style>
  <w:style w:type="paragraph" w:styleId="TOC1">
    <w:name w:val="toc 1"/>
    <w:next w:val="Normal"/>
    <w:autoRedefine/>
    <w:uiPriority w:val="39"/>
    <w:unhideWhenUsed/>
    <w:rsid w:val="001E2775"/>
    <w:pPr>
      <w:spacing w:before="120" w:line="320" w:lineRule="exact"/>
      <w:ind w:right="227"/>
      <w:contextualSpacing/>
    </w:pPr>
    <w:rPr>
      <w:rFonts w:eastAsiaTheme="minorHAnsi"/>
      <w:b/>
      <w:sz w:val="24"/>
      <w:szCs w:val="24"/>
      <w:lang w:val="en-GB" w:eastAsia="en-US"/>
    </w:rPr>
  </w:style>
  <w:style w:type="paragraph" w:styleId="TOC2">
    <w:name w:val="toc 2"/>
    <w:basedOn w:val="Normal"/>
    <w:next w:val="Normal"/>
    <w:autoRedefine/>
    <w:uiPriority w:val="39"/>
    <w:unhideWhenUsed/>
    <w:rsid w:val="001E2775"/>
    <w:pPr>
      <w:spacing w:after="0"/>
      <w:ind w:left="240"/>
      <w:jc w:val="left"/>
    </w:pPr>
    <w:rPr>
      <w:b/>
      <w:sz w:val="22"/>
      <w:szCs w:val="22"/>
    </w:rPr>
  </w:style>
  <w:style w:type="paragraph" w:styleId="TOC3">
    <w:name w:val="toc 3"/>
    <w:basedOn w:val="Normal"/>
    <w:next w:val="Normal"/>
    <w:autoRedefine/>
    <w:uiPriority w:val="39"/>
    <w:unhideWhenUsed/>
    <w:rsid w:val="001E2775"/>
    <w:pPr>
      <w:spacing w:after="0"/>
      <w:ind w:left="480"/>
      <w:jc w:val="left"/>
    </w:pPr>
    <w:rPr>
      <w:sz w:val="22"/>
      <w:szCs w:val="22"/>
    </w:rPr>
  </w:style>
  <w:style w:type="paragraph" w:styleId="TOC4">
    <w:name w:val="toc 4"/>
    <w:basedOn w:val="Normal"/>
    <w:next w:val="Normal"/>
    <w:autoRedefine/>
    <w:uiPriority w:val="39"/>
    <w:unhideWhenUsed/>
    <w:rsid w:val="00111E62"/>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111E62"/>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111E62"/>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111E62"/>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111E62"/>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111E62"/>
    <w:pPr>
      <w:spacing w:after="0"/>
      <w:ind w:left="1920"/>
      <w:jc w:val="left"/>
    </w:pPr>
    <w:rPr>
      <w:rFonts w:asciiTheme="minorHAnsi" w:hAnsiTheme="minorHAnsi"/>
      <w:sz w:val="20"/>
      <w:szCs w:val="20"/>
    </w:rPr>
  </w:style>
  <w:style w:type="paragraph" w:styleId="Bibliography">
    <w:name w:val="Bibliography"/>
    <w:basedOn w:val="Normal"/>
    <w:next w:val="Normal"/>
    <w:uiPriority w:val="37"/>
    <w:unhideWhenUsed/>
    <w:rsid w:val="00817BEE"/>
    <w:pPr>
      <w:ind w:left="454" w:hanging="284"/>
      <w:jc w:val="left"/>
    </w:pPr>
  </w:style>
  <w:style w:type="paragraph" w:styleId="Header">
    <w:name w:val="header"/>
    <w:basedOn w:val="Normal"/>
    <w:link w:val="HeaderChar"/>
    <w:uiPriority w:val="99"/>
    <w:unhideWhenUsed/>
    <w:rsid w:val="007E2625"/>
    <w:pPr>
      <w:tabs>
        <w:tab w:val="center" w:pos="4703"/>
        <w:tab w:val="right" w:pos="9406"/>
      </w:tabs>
      <w:spacing w:after="0" w:line="240" w:lineRule="auto"/>
    </w:pPr>
  </w:style>
  <w:style w:type="character" w:customStyle="1" w:styleId="HeaderChar">
    <w:name w:val="Header Char"/>
    <w:basedOn w:val="DefaultParagraphFont"/>
    <w:link w:val="Header"/>
    <w:uiPriority w:val="99"/>
    <w:rsid w:val="007E2625"/>
    <w:rPr>
      <w:rFonts w:eastAsiaTheme="minorHAnsi"/>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5961523">
      <w:bodyDiv w:val="1"/>
      <w:marLeft w:val="0"/>
      <w:marRight w:val="0"/>
      <w:marTop w:val="0"/>
      <w:marBottom w:val="0"/>
      <w:divBdr>
        <w:top w:val="none" w:sz="0" w:space="0" w:color="auto"/>
        <w:left w:val="none" w:sz="0" w:space="0" w:color="auto"/>
        <w:bottom w:val="none" w:sz="0" w:space="0" w:color="auto"/>
        <w:right w:val="none" w:sz="0" w:space="0" w:color="auto"/>
      </w:divBdr>
      <w:divsChild>
        <w:div w:id="1100299504">
          <w:marLeft w:val="0"/>
          <w:marRight w:val="0"/>
          <w:marTop w:val="0"/>
          <w:marBottom w:val="0"/>
          <w:divBdr>
            <w:top w:val="none" w:sz="0" w:space="0" w:color="auto"/>
            <w:left w:val="none" w:sz="0" w:space="0" w:color="auto"/>
            <w:bottom w:val="none" w:sz="0" w:space="0" w:color="auto"/>
            <w:right w:val="none" w:sz="0" w:space="0" w:color="auto"/>
          </w:divBdr>
          <w:divsChild>
            <w:div w:id="650015941">
              <w:marLeft w:val="0"/>
              <w:marRight w:val="0"/>
              <w:marTop w:val="0"/>
              <w:marBottom w:val="0"/>
              <w:divBdr>
                <w:top w:val="none" w:sz="0" w:space="0" w:color="auto"/>
                <w:left w:val="none" w:sz="0" w:space="0" w:color="auto"/>
                <w:bottom w:val="none" w:sz="0" w:space="0" w:color="auto"/>
                <w:right w:val="none" w:sz="0" w:space="0" w:color="auto"/>
              </w:divBdr>
              <w:divsChild>
                <w:div w:id="1467703244">
                  <w:marLeft w:val="0"/>
                  <w:marRight w:val="0"/>
                  <w:marTop w:val="0"/>
                  <w:marBottom w:val="0"/>
                  <w:divBdr>
                    <w:top w:val="none" w:sz="0" w:space="0" w:color="auto"/>
                    <w:left w:val="none" w:sz="0" w:space="0" w:color="auto"/>
                    <w:bottom w:val="none" w:sz="0" w:space="0" w:color="auto"/>
                    <w:right w:val="none" w:sz="0" w:space="0" w:color="auto"/>
                  </w:divBdr>
                </w:div>
              </w:divsChild>
            </w:div>
            <w:div w:id="1003629262">
              <w:marLeft w:val="0"/>
              <w:marRight w:val="0"/>
              <w:marTop w:val="0"/>
              <w:marBottom w:val="0"/>
              <w:divBdr>
                <w:top w:val="none" w:sz="0" w:space="0" w:color="auto"/>
                <w:left w:val="none" w:sz="0" w:space="0" w:color="auto"/>
                <w:bottom w:val="none" w:sz="0" w:space="0" w:color="auto"/>
                <w:right w:val="none" w:sz="0" w:space="0" w:color="auto"/>
              </w:divBdr>
              <w:divsChild>
                <w:div w:id="132588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1457">
          <w:marLeft w:val="0"/>
          <w:marRight w:val="0"/>
          <w:marTop w:val="0"/>
          <w:marBottom w:val="0"/>
          <w:divBdr>
            <w:top w:val="none" w:sz="0" w:space="0" w:color="auto"/>
            <w:left w:val="none" w:sz="0" w:space="0" w:color="auto"/>
            <w:bottom w:val="none" w:sz="0" w:space="0" w:color="auto"/>
            <w:right w:val="none" w:sz="0" w:space="0" w:color="auto"/>
          </w:divBdr>
          <w:divsChild>
            <w:div w:id="1847279356">
              <w:marLeft w:val="0"/>
              <w:marRight w:val="0"/>
              <w:marTop w:val="0"/>
              <w:marBottom w:val="0"/>
              <w:divBdr>
                <w:top w:val="none" w:sz="0" w:space="0" w:color="auto"/>
                <w:left w:val="none" w:sz="0" w:space="0" w:color="auto"/>
                <w:bottom w:val="none" w:sz="0" w:space="0" w:color="auto"/>
                <w:right w:val="none" w:sz="0" w:space="0" w:color="auto"/>
              </w:divBdr>
              <w:divsChild>
                <w:div w:id="16087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137249">
      <w:bodyDiv w:val="1"/>
      <w:marLeft w:val="0"/>
      <w:marRight w:val="0"/>
      <w:marTop w:val="0"/>
      <w:marBottom w:val="0"/>
      <w:divBdr>
        <w:top w:val="none" w:sz="0" w:space="0" w:color="auto"/>
        <w:left w:val="none" w:sz="0" w:space="0" w:color="auto"/>
        <w:bottom w:val="none" w:sz="0" w:space="0" w:color="auto"/>
        <w:right w:val="none" w:sz="0" w:space="0" w:color="auto"/>
      </w:divBdr>
      <w:divsChild>
        <w:div w:id="1822622251">
          <w:marLeft w:val="0"/>
          <w:marRight w:val="0"/>
          <w:marTop w:val="0"/>
          <w:marBottom w:val="0"/>
          <w:divBdr>
            <w:top w:val="none" w:sz="0" w:space="0" w:color="auto"/>
            <w:left w:val="none" w:sz="0" w:space="0" w:color="auto"/>
            <w:bottom w:val="none" w:sz="0" w:space="0" w:color="auto"/>
            <w:right w:val="none" w:sz="0" w:space="0" w:color="auto"/>
          </w:divBdr>
          <w:divsChild>
            <w:div w:id="1422793346">
              <w:marLeft w:val="0"/>
              <w:marRight w:val="0"/>
              <w:marTop w:val="0"/>
              <w:marBottom w:val="0"/>
              <w:divBdr>
                <w:top w:val="none" w:sz="0" w:space="0" w:color="auto"/>
                <w:left w:val="none" w:sz="0" w:space="0" w:color="auto"/>
                <w:bottom w:val="none" w:sz="0" w:space="0" w:color="auto"/>
                <w:right w:val="none" w:sz="0" w:space="0" w:color="auto"/>
              </w:divBdr>
              <w:divsChild>
                <w:div w:id="19130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86925">
      <w:bodyDiv w:val="1"/>
      <w:marLeft w:val="0"/>
      <w:marRight w:val="0"/>
      <w:marTop w:val="0"/>
      <w:marBottom w:val="0"/>
      <w:divBdr>
        <w:top w:val="none" w:sz="0" w:space="0" w:color="auto"/>
        <w:left w:val="none" w:sz="0" w:space="0" w:color="auto"/>
        <w:bottom w:val="none" w:sz="0" w:space="0" w:color="auto"/>
        <w:right w:val="none" w:sz="0" w:space="0" w:color="auto"/>
      </w:divBdr>
      <w:divsChild>
        <w:div w:id="892621027">
          <w:marLeft w:val="0"/>
          <w:marRight w:val="0"/>
          <w:marTop w:val="0"/>
          <w:marBottom w:val="0"/>
          <w:divBdr>
            <w:top w:val="none" w:sz="0" w:space="0" w:color="auto"/>
            <w:left w:val="none" w:sz="0" w:space="0" w:color="auto"/>
            <w:bottom w:val="none" w:sz="0" w:space="0" w:color="auto"/>
            <w:right w:val="none" w:sz="0" w:space="0" w:color="auto"/>
          </w:divBdr>
          <w:divsChild>
            <w:div w:id="1875267971">
              <w:marLeft w:val="0"/>
              <w:marRight w:val="0"/>
              <w:marTop w:val="0"/>
              <w:marBottom w:val="0"/>
              <w:divBdr>
                <w:top w:val="none" w:sz="0" w:space="0" w:color="auto"/>
                <w:left w:val="none" w:sz="0" w:space="0" w:color="auto"/>
                <w:bottom w:val="none" w:sz="0" w:space="0" w:color="auto"/>
                <w:right w:val="none" w:sz="0" w:space="0" w:color="auto"/>
              </w:divBdr>
              <w:divsChild>
                <w:div w:id="17301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27162">
      <w:bodyDiv w:val="1"/>
      <w:marLeft w:val="0"/>
      <w:marRight w:val="0"/>
      <w:marTop w:val="0"/>
      <w:marBottom w:val="0"/>
      <w:divBdr>
        <w:top w:val="none" w:sz="0" w:space="0" w:color="auto"/>
        <w:left w:val="none" w:sz="0" w:space="0" w:color="auto"/>
        <w:bottom w:val="none" w:sz="0" w:space="0" w:color="auto"/>
        <w:right w:val="none" w:sz="0" w:space="0" w:color="auto"/>
      </w:divBdr>
      <w:divsChild>
        <w:div w:id="1227112461">
          <w:marLeft w:val="0"/>
          <w:marRight w:val="0"/>
          <w:marTop w:val="0"/>
          <w:marBottom w:val="0"/>
          <w:divBdr>
            <w:top w:val="none" w:sz="0" w:space="0" w:color="auto"/>
            <w:left w:val="none" w:sz="0" w:space="0" w:color="auto"/>
            <w:bottom w:val="none" w:sz="0" w:space="0" w:color="auto"/>
            <w:right w:val="none" w:sz="0" w:space="0" w:color="auto"/>
          </w:divBdr>
          <w:divsChild>
            <w:div w:id="603264500">
              <w:marLeft w:val="0"/>
              <w:marRight w:val="0"/>
              <w:marTop w:val="0"/>
              <w:marBottom w:val="0"/>
              <w:divBdr>
                <w:top w:val="none" w:sz="0" w:space="0" w:color="auto"/>
                <w:left w:val="none" w:sz="0" w:space="0" w:color="auto"/>
                <w:bottom w:val="none" w:sz="0" w:space="0" w:color="auto"/>
                <w:right w:val="none" w:sz="0" w:space="0" w:color="auto"/>
              </w:divBdr>
              <w:divsChild>
                <w:div w:id="14072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472730">
      <w:bodyDiv w:val="1"/>
      <w:marLeft w:val="0"/>
      <w:marRight w:val="0"/>
      <w:marTop w:val="0"/>
      <w:marBottom w:val="0"/>
      <w:divBdr>
        <w:top w:val="none" w:sz="0" w:space="0" w:color="auto"/>
        <w:left w:val="none" w:sz="0" w:space="0" w:color="auto"/>
        <w:bottom w:val="none" w:sz="0" w:space="0" w:color="auto"/>
        <w:right w:val="none" w:sz="0" w:space="0" w:color="auto"/>
      </w:divBdr>
      <w:divsChild>
        <w:div w:id="1997031885">
          <w:marLeft w:val="0"/>
          <w:marRight w:val="0"/>
          <w:marTop w:val="0"/>
          <w:marBottom w:val="0"/>
          <w:divBdr>
            <w:top w:val="none" w:sz="0" w:space="0" w:color="auto"/>
            <w:left w:val="none" w:sz="0" w:space="0" w:color="auto"/>
            <w:bottom w:val="none" w:sz="0" w:space="0" w:color="auto"/>
            <w:right w:val="none" w:sz="0" w:space="0" w:color="auto"/>
          </w:divBdr>
          <w:divsChild>
            <w:div w:id="617952886">
              <w:marLeft w:val="0"/>
              <w:marRight w:val="0"/>
              <w:marTop w:val="0"/>
              <w:marBottom w:val="0"/>
              <w:divBdr>
                <w:top w:val="none" w:sz="0" w:space="0" w:color="auto"/>
                <w:left w:val="none" w:sz="0" w:space="0" w:color="auto"/>
                <w:bottom w:val="none" w:sz="0" w:space="0" w:color="auto"/>
                <w:right w:val="none" w:sz="0" w:space="0" w:color="auto"/>
              </w:divBdr>
              <w:divsChild>
                <w:div w:id="3430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8229">
      <w:bodyDiv w:val="1"/>
      <w:marLeft w:val="0"/>
      <w:marRight w:val="0"/>
      <w:marTop w:val="0"/>
      <w:marBottom w:val="0"/>
      <w:divBdr>
        <w:top w:val="none" w:sz="0" w:space="0" w:color="auto"/>
        <w:left w:val="none" w:sz="0" w:space="0" w:color="auto"/>
        <w:bottom w:val="none" w:sz="0" w:space="0" w:color="auto"/>
        <w:right w:val="none" w:sz="0" w:space="0" w:color="auto"/>
      </w:divBdr>
      <w:divsChild>
        <w:div w:id="2091611457">
          <w:marLeft w:val="0"/>
          <w:marRight w:val="0"/>
          <w:marTop w:val="0"/>
          <w:marBottom w:val="0"/>
          <w:divBdr>
            <w:top w:val="none" w:sz="0" w:space="0" w:color="auto"/>
            <w:left w:val="none" w:sz="0" w:space="0" w:color="auto"/>
            <w:bottom w:val="none" w:sz="0" w:space="0" w:color="auto"/>
            <w:right w:val="none" w:sz="0" w:space="0" w:color="auto"/>
          </w:divBdr>
          <w:divsChild>
            <w:div w:id="1366759189">
              <w:marLeft w:val="0"/>
              <w:marRight w:val="0"/>
              <w:marTop w:val="0"/>
              <w:marBottom w:val="0"/>
              <w:divBdr>
                <w:top w:val="none" w:sz="0" w:space="0" w:color="auto"/>
                <w:left w:val="none" w:sz="0" w:space="0" w:color="auto"/>
                <w:bottom w:val="none" w:sz="0" w:space="0" w:color="auto"/>
                <w:right w:val="none" w:sz="0" w:space="0" w:color="auto"/>
              </w:divBdr>
              <w:divsChild>
                <w:div w:id="1852375699">
                  <w:marLeft w:val="0"/>
                  <w:marRight w:val="0"/>
                  <w:marTop w:val="0"/>
                  <w:marBottom w:val="0"/>
                  <w:divBdr>
                    <w:top w:val="none" w:sz="0" w:space="0" w:color="auto"/>
                    <w:left w:val="none" w:sz="0" w:space="0" w:color="auto"/>
                    <w:bottom w:val="none" w:sz="0" w:space="0" w:color="auto"/>
                    <w:right w:val="none" w:sz="0" w:space="0" w:color="auto"/>
                  </w:divBdr>
                </w:div>
              </w:divsChild>
            </w:div>
            <w:div w:id="1100955829">
              <w:marLeft w:val="0"/>
              <w:marRight w:val="0"/>
              <w:marTop w:val="0"/>
              <w:marBottom w:val="0"/>
              <w:divBdr>
                <w:top w:val="none" w:sz="0" w:space="0" w:color="auto"/>
                <w:left w:val="none" w:sz="0" w:space="0" w:color="auto"/>
                <w:bottom w:val="none" w:sz="0" w:space="0" w:color="auto"/>
                <w:right w:val="none" w:sz="0" w:space="0" w:color="auto"/>
              </w:divBdr>
              <w:divsChild>
                <w:div w:id="2120946635">
                  <w:marLeft w:val="0"/>
                  <w:marRight w:val="0"/>
                  <w:marTop w:val="0"/>
                  <w:marBottom w:val="0"/>
                  <w:divBdr>
                    <w:top w:val="none" w:sz="0" w:space="0" w:color="auto"/>
                    <w:left w:val="none" w:sz="0" w:space="0" w:color="auto"/>
                    <w:bottom w:val="none" w:sz="0" w:space="0" w:color="auto"/>
                    <w:right w:val="none" w:sz="0" w:space="0" w:color="auto"/>
                  </w:divBdr>
                </w:div>
                <w:div w:id="15427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A486F9-DBE2-CD47-93DB-C50E15794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17</Pages>
  <Words>7224</Words>
  <Characters>41182</Characters>
  <Application>Microsoft Macintosh Word</Application>
  <DocSecurity>0</DocSecurity>
  <Lines>343</Lines>
  <Paragraphs>96</Paragraphs>
  <ScaleCrop>false</ScaleCrop>
  <Company/>
  <LinksUpToDate>false</LinksUpToDate>
  <CharactersWithSpaces>48310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Corleone</dc:creator>
  <cp:keywords/>
  <dc:description/>
  <cp:lastModifiedBy>Jean Valjean</cp:lastModifiedBy>
  <cp:revision>60</cp:revision>
  <cp:lastPrinted>2015-05-09T10:34:00Z</cp:lastPrinted>
  <dcterms:created xsi:type="dcterms:W3CDTF">2015-05-01T13:50:00Z</dcterms:created>
  <dcterms:modified xsi:type="dcterms:W3CDTF">2015-08-16T10:55:00Z</dcterms:modified>
</cp:coreProperties>
</file>