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1E7A4D"/>
          <w:sz w:val="48"/>
          <w:szCs w:val="48"/>
        </w:rPr>
        <w:t xml:space="preserve">FARMCASH</w:t>
      </w:r>
    </w:p>
    <w:p>
      <w:pPr>
        <w:spacing w:after="1400"/>
        <w:jc w:val="center"/>
      </w:pPr>
      <w:r>
        <w:rPr>
          <w:color w:val="0F172A"/>
          <w:sz w:val="36"/>
          <w:szCs w:val="36"/>
        </w:rPr>
        <w:t xml:space="preserve">Note stratégique — Roadmap V2</w:t>
      </w:r>
    </w:p>
    <w:p>
      <w:pPr>
        <w:spacing w:after="200"/>
        <w:jc w:val="center"/>
      </w:pPr>
      <w:r>
        <w:rPr>
          <w:i/>
          <w:iCs/>
          <w:color w:val="4A5568"/>
          <w:sz w:val="24"/>
          <w:szCs w:val="24"/>
        </w:rPr>
        <w:t xml:space="preserve">Architecture économique, amorçage et roadmap V2</w:t>
      </w:r>
    </w:p>
    <w:p>
      <w:pPr>
        <w:spacing w:after="80" w:before="3000"/>
        <w:jc w:val="center"/>
      </w:pPr>
      <w:r>
        <w:rPr>
          <w:color w:val="4A5568"/>
          <w:sz w:val="22"/>
          <w:szCs w:val="22"/>
        </w:rPr>
        <w:t xml:space="preserve">Auteur : </w:t>
      </w:r>
      <w:r>
        <w:rPr>
          <w:b/>
          <w:bCs/>
          <w:color w:val="0F172A"/>
          <w:sz w:val="22"/>
          <w:szCs w:val="22"/>
        </w:rPr>
        <w:t xml:space="preserve">Claude (analyse produit)</w:t>
      </w:r>
    </w:p>
    <w:p>
      <w:pPr>
        <w:spacing w:after="80"/>
        <w:jc w:val="center"/>
      </w:pPr>
      <w:r>
        <w:rPr>
          <w:color w:val="4A5568"/>
          <w:sz w:val="22"/>
          <w:szCs w:val="22"/>
        </w:rPr>
        <w:t xml:space="preserve">Date : </w:t>
      </w:r>
      <w:r>
        <w:rPr>
          <w:b/>
          <w:bCs/>
          <w:color w:val="0F172A"/>
          <w:sz w:val="22"/>
          <w:szCs w:val="22"/>
        </w:rPr>
        <w:t xml:space="preserve">6 juin 2026 — version 2 (révisée)</w:t>
      </w:r>
    </w:p>
    <w:p>
      <w:pPr>
        <w:spacing w:after="80"/>
        <w:jc w:val="center"/>
      </w:pPr>
      <w:r>
        <w:rPr>
          <w:color w:val="4A5568"/>
          <w:sz w:val="22"/>
          <w:szCs w:val="22"/>
        </w:rPr>
        <w:t xml:space="preserve">Périmètre : </w:t>
      </w:r>
      <w:r>
        <w:rPr>
          <w:b/>
          <w:bCs/>
          <w:color w:val="0F172A"/>
          <w:sz w:val="22"/>
          <w:szCs w:val="22"/>
        </w:rPr>
        <w:t xml:space="preserve">Marketplace agricole Côte d’Ivoire</w:t>
      </w:r>
    </w:p>
    <w:p>
      <w:r>
        <w:br w:type="page"/>
      </w:r>
    </w:p>
    <w:p>
      <w:pPr>
        <w:pStyle w:val="Heading1"/>
        <w:spacing w:after="200" w:before="360"/>
      </w:pPr>
      <w:r>
        <w:rPr>
          <w:color w:val="1E7A4D"/>
        </w:rPr>
        <w:t xml:space="preserve">Synthèse exécutive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FarmCash a posé des fondations techniques solides : modèle coopérative-pivot, escrow obligatoire, distribution automatique au prorata et support des producteurs sans téléphone (managed accounts). C’est au-dessus de la moyenne des marketplaces agricoles africaines en service.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Cette note V2 affine la compréhension du modèle économique réel et propose une architecture de paiement adaptée à la cible : les petites coopératives villageoises sans fonds propres. Trois leviers majeurs sont identifiés : le paiement étagé (avance acheteur 20 % + solde à la livraison), la grille tarifaire transporteur standardisée et la stratégie d’amorçage du crédit coop sans capital initial.</w:t>
      </w:r>
    </w:p>
    <w:p>
      <w:pPr>
        <w:spacing w:after="120" w:line="320"/>
        <w:jc w:val="left"/>
      </w:pPr>
      <w:r>
        <w:rPr>
          <w:b w:val="false"/>
          <w:bCs w:val="false"/>
          <w:i/>
          <w:iCs/>
          <w:color w:val="4A5568"/>
          <w:sz w:val="22"/>
          <w:szCs w:val="22"/>
        </w:rPr>
        <w:t xml:space="preserve">Aucun de ces chantiers ne demande de capital propre FarmCash pour démarrer. Ils permettent de servir la vraie cible terrain dès le mois 1.</w:t>
      </w:r>
    </w:p>
    <w:p>
      <w:pPr>
        <w:pStyle w:val="Heading1"/>
        <w:spacing w:after="200" w:before="360"/>
      </w:pPr>
      <w:r>
        <w:rPr>
          <w:color w:val="1E7A4D"/>
        </w:rPr>
        <w:t xml:space="preserve">1. Précisions sur la cible et le modèle</w:t>
      </w:r>
    </w:p>
    <w:p>
      <w:pPr>
        <w:pStyle w:val="Heading2"/>
        <w:spacing w:after="140" w:before="280"/>
      </w:pPr>
      <w:r>
        <w:rPr>
          <w:color w:val="0F172A"/>
        </w:rPr>
        <w:t xml:space="preserve">1.1 — La coopérative FarmCash est un groupement villageois, pas une grande structure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Distinction fondamentale qui change toute la stratégie d’amorçage : la « coopérative » au sens FarmCash désigne un petit groupement de producteurs qui s’associent pour vendre leur récolte ensemble. Ce N’EST PAS COOP-CI, UNECA-CI ou les grandes coopératives cacao établies.</w:t>
      </w:r>
    </w:p>
    <w:p>
      <w:pPr>
        <w:pStyle w:val="Heading3"/>
        <w:spacing w:after="100" w:before="220"/>
      </w:pPr>
      <w:r>
        <w:rPr>
          <w:color w:val="0F172A"/>
        </w:rPr>
        <w:t xml:space="preserve">Profil terrain réel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5 à 30 membres (souvent 8 à 15)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Tous producteurs eux-mêmes (pas d’acheteurs déguisés)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Président élu parmi les membres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Souvent informelle (pas de RCCM, pas de compte bancaire au nom de la coop)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Tout repose sur la confiance entre voisins de village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Zéro fonds propres réels — le cash du président, c’est le cash de la coop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Comptabilité tenue dans un cahier d’école</w:t>
      </w:r>
    </w:p>
    <w:p>
      <w:pPr>
        <w:pBdr>
          <w:left w:val="single" w:color="1E7A4D" w:sz="24" w:space="8"/>
        </w:pBdr>
        <w:spacing w:after="200" w:before="160" w:line="320"/>
        <w:ind w:left="240"/>
      </w:pPr>
      <w:r>
        <w:rPr>
          <w:i/>
          <w:iCs/>
          <w:color w:val="0F172A"/>
          <w:sz w:val="22"/>
          <w:szCs w:val="22"/>
        </w:rPr>
        <w:t xml:space="preserve">Conséquence directe : on ne peut pas exiger d’agrément ou de compte bancaire au registration. Le wallet FarmCash devient le premier compte « collectif » digital de la coop. C’est un atout d’adoption, pas un défaut.</w:t>
      </w:r>
    </w:p>
    <w:p>
      <w:pPr>
        <w:pStyle w:val="Heading2"/>
        <w:spacing w:after="140" w:before="280"/>
      </w:pPr>
      <w:r>
        <w:rPr>
          <w:color w:val="0F172A"/>
        </w:rPr>
        <w:t xml:space="preserve">1.2 — Trois profils de producteurs supportés en parallèle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Aucun de ces profils n’est obligatoire — ils coexistent.</w:t>
      </w:r>
    </w:p>
    <w:p>
      <w:pPr>
        <w:pStyle w:val="Heading3"/>
        <w:spacing w:after="100" w:before="220"/>
      </w:pPr>
      <w:r>
        <w:rPr>
          <w:color w:val="0F172A"/>
        </w:rPr>
        <w:t xml:space="preserve">Type 1 — Producteur autonome (avec téléphone)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S’inscrit seul depuis l’app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Publie ses annonces, vend directement aux acheteurs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Reçoit son argent sur SON wallet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Pas besoin d’une coopérative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Cas typique : producteur péri-urbain, culture hors-sol, hydroponie, gros producteur autonome, agropreneur jeune</w:t>
      </w:r>
    </w:p>
    <w:p>
      <w:pPr>
        <w:pStyle w:val="Heading3"/>
        <w:spacing w:after="100" w:before="220"/>
      </w:pPr>
      <w:r>
        <w:rPr>
          <w:color w:val="0F172A"/>
        </w:rPr>
        <w:t xml:space="preserve">Type 2 — Producteur membre d’une coopérative (avec téléphone)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S’inscrit seul, puis rejoint une coop via la page « Trouver une coopérative 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Publie ses annonces — la coop les valide à la pesée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La coop agrège plusieurs membres en publications coop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L’argent va à la coop, distribué automatiquement aux membres au prorata</w:t>
      </w:r>
    </w:p>
    <w:p>
      <w:pPr>
        <w:pStyle w:val="Heading3"/>
        <w:spacing w:after="100" w:before="220"/>
      </w:pPr>
      <w:r>
        <w:rPr>
          <w:color w:val="0F172A"/>
        </w:rPr>
        <w:t xml:space="preserve">Type 3 — Producteur « managed » (sans téléphone)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Pas d’app, pas d’inscription par lui-même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La coop l’enregistre dans son écosystème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La coop saisit ses récoltes et vend pour lui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La coop le paye en espèces au village (ou Mobile Money)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Cas typique : producteur 50+ ans, village reculé, illettrisme numérique</w:t>
      </w:r>
    </w:p>
    <w:p>
      <w:pPr>
        <w:pBdr>
          <w:left w:val="single" w:color="1E7A4D" w:sz="24" w:space="8"/>
        </w:pBdr>
        <w:spacing w:after="200" w:before="160" w:line="320"/>
        <w:ind w:left="240"/>
      </w:pPr>
      <w:r>
        <w:rPr>
          <w:i/>
          <w:iCs/>
          <w:color w:val="0F172A"/>
          <w:sz w:val="22"/>
          <w:szCs w:val="22"/>
        </w:rPr>
        <w:t xml:space="preserve">L’app ne force personne à passer par une coopérative. La bannière « Rejoins une coopérative » est une invitation, pas une contrainte — elle disparaît dès que le producteur a rejoint une coop, ou peut être ignorée s’il préfère vendre seul.</w:t>
      </w:r>
    </w:p>
    <w:p>
      <w:r>
        <w:br w:type="page"/>
      </w:r>
    </w:p>
    <w:p>
      <w:pPr>
        <w:pStyle w:val="Heading1"/>
        <w:spacing w:after="200" w:before="360"/>
      </w:pPr>
      <w:r>
        <w:rPr>
          <w:color w:val="1E7A4D"/>
        </w:rPr>
        <w:t xml:space="preserve">2. Architecture économique clarifiée</w:t>
      </w:r>
    </w:p>
    <w:p>
      <w:pPr>
        <w:pStyle w:val="Heading2"/>
        <w:spacing w:after="140" w:before="280"/>
      </w:pPr>
      <w:r>
        <w:rPr>
          <w:color w:val="0F172A"/>
        </w:rPr>
        <w:t xml:space="preserve">2.1 — Qui paye quoi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Point essentiel : la commission FarmCash est retenue sur le vendeur (3 %) et sur le transporteur (10 %), pas ajoutée au prix payé par l’acheteur. L’acheteur voit un total = produit + transport, avec « 0 % de frais » affiché. C’est conforme au pattern Amazon, Jumia, Glovo.</w:t>
      </w:r>
    </w:p>
    <w:p>
      <w:pPr>
        <w:pStyle w:val="Heading3"/>
        <w:spacing w:after="100" w:before="220"/>
      </w:pPr>
      <w:r>
        <w:rPr>
          <w:color w:val="0F172A"/>
        </w:rPr>
        <w:t xml:space="preserve">Tableau récapitulatif (exemple sur commande de 5 T de maïs)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Acteur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Ce qu’il voit / paye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Ce qu’il reçoit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Acheteur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color w:val="0F172A"/>
                <w:sz w:val="22"/>
                <w:szCs w:val="22"/>
              </w:rPr>
              <w:t xml:space="preserve">Total = produit + transport (0 % de frais visible)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color w:val="0F172A"/>
                <w:sz w:val="22"/>
                <w:szCs w:val="22"/>
              </w:rPr>
              <w:t xml:space="preserve">Sa marchandise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Coop (vendeur)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color w:val="0F172A"/>
                <w:sz w:val="22"/>
                <w:szCs w:val="22"/>
              </w:rPr>
              <w:t xml:space="preserve">Brut affiché : 1 750 000 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color w:val="0F172A"/>
                <w:sz w:val="22"/>
                <w:szCs w:val="22"/>
              </w:rPr>
              <w:t xml:space="preserve">Net 1 697 500 F (après FarmCash 3 %)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Producteurs membres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color w:val="0F172A"/>
                <w:sz w:val="22"/>
                <w:szCs w:val="22"/>
              </w:rPr>
              <w:t xml:space="preserve">Quote-part au prorata des kg contribués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color w:val="0F172A"/>
                <w:sz w:val="22"/>
                <w:szCs w:val="22"/>
              </w:rPr>
              <w:t xml:space="preserve">Net après cascade FarmCash + commission coop (5 %)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Transporteur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color w:val="0F172A"/>
                <w:sz w:val="22"/>
                <w:szCs w:val="22"/>
              </w:rPr>
              <w:t xml:space="preserve">Tarif affiché : 120 000 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color w:val="0F172A"/>
                <w:sz w:val="22"/>
                <w:szCs w:val="22"/>
              </w:rPr>
              <w:t xml:space="preserve">108 000 F (après commission FarmCash 10 %)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E7A4D"/>
                <w:sz w:val="22"/>
                <w:szCs w:val="22"/>
              </w:rPr>
              <w:t xml:space="preserve">FarmCash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color w:val="0F172A"/>
                <w:sz w:val="22"/>
                <w:szCs w:val="22"/>
              </w:rPr>
              <w:t xml:space="preserve">Rien à payer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E7A4D"/>
                <w:sz w:val="22"/>
                <w:szCs w:val="22"/>
              </w:rPr>
              <w:t xml:space="preserve">64 500 F (3 % vendeur + 10 % transport)</w:t>
            </w:r>
          </w:p>
        </w:tc>
      </w:tr>
    </w:tbl>
    <w:p>
      <w:pPr>
        <w:spacing w:before="160"/>
      </w:pPr>
    </w:p>
    <w:p>
      <w:pPr>
        <w:pStyle w:val="Heading2"/>
        <w:spacing w:after="140" w:before="280"/>
      </w:pPr>
      <w:r>
        <w:rPr>
          <w:color w:val="0F172A"/>
        </w:rPr>
        <w:t xml:space="preserve">2.2 — Le paiement étagé (avance 20 % + solde à la livraison)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C’est la pièce manquante pour servir les petites coopératives villageoises sans capital FarmCash propre.</w:t>
      </w:r>
    </w:p>
    <w:p>
      <w:pPr>
        <w:pStyle w:val="Heading3"/>
        <w:spacing w:after="100" w:before="220"/>
      </w:pPr>
      <w:r>
        <w:rPr>
          <w:color w:val="0F172A"/>
        </w:rPr>
        <w:t xml:space="preserve">Le problème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Une coop collecte 5 T chez ses 8 membres → elle doit payer ses producteurs MAINTENANT (sinon ils ne livreront plus la prochaine fois).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L’escrow ne libère qu’à la confirmation livraison (J+5 à J+15).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La petite coop villageoise n’a pas 1,5 M F en avance.</w:t>
      </w:r>
    </w:p>
    <w:p>
      <w:pPr>
        <w:pStyle w:val="Heading3"/>
        <w:spacing w:after="100" w:before="220"/>
      </w:pPr>
      <w:r>
        <w:rPr>
          <w:color w:val="0F172A"/>
        </w:rPr>
        <w:t xml:space="preserve">La solution : paiement étagé acheteur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À la commande, l’acheteur paye 20 % en escrow « réservation » (variable : 10 % grosses commandes, 30 % petites).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FarmCash débloque immédiatement 80 % de ces 20 % à la coop → elle paye ses producteurs.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Le reste (20 % de la réservation) reste en garantie en escrow.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À la livraison, l’acheteur paye le solde 80 %.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Au scan QR de validation, distribution automatique en 3 paiements (vendeur, transporteur, FarmCash).</w:t>
      </w:r>
    </w:p>
    <w:p>
      <w:pPr>
        <w:pStyle w:val="Heading3"/>
        <w:spacing w:after="100" w:before="220"/>
      </w:pPr>
      <w:r>
        <w:rPr>
          <w:color w:val="0F172A"/>
        </w:rPr>
        <w:t xml:space="preserve">Pourcentage d’avance recommandé selon le montant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Tranche de commande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% d’avance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Logique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color w:val="0F172A"/>
                <w:sz w:val="22"/>
                <w:szCs w:val="22"/>
              </w:rPr>
              <w:t xml:space="preserve">Moins de 500 000 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30 %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color w:val="0F172A"/>
                <w:sz w:val="22"/>
                <w:szCs w:val="22"/>
              </w:rPr>
              <w:t xml:space="preserve">Petit ticket, faible friction, coop a tout de suite l’essentiel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color w:val="0F172A"/>
                <w:sz w:val="22"/>
                <w:szCs w:val="22"/>
              </w:rPr>
              <w:t xml:space="preserve">500 000 à 5 millions 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20 %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color w:val="0F172A"/>
                <w:sz w:val="22"/>
                <w:szCs w:val="22"/>
              </w:rPr>
              <w:t xml:space="preserve">Compromis raisonnable, segment dominant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color w:val="0F172A"/>
                <w:sz w:val="22"/>
                <w:szCs w:val="22"/>
              </w:rPr>
              <w:t xml:space="preserve">Plus de 5 millions 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10 %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color w:val="0F172A"/>
                <w:sz w:val="22"/>
                <w:szCs w:val="22"/>
              </w:rPr>
              <w:t xml:space="preserve">Acheteur industriel veut bloquer peu de cash</w:t>
            </w:r>
          </w:p>
        </w:tc>
      </w:tr>
    </w:tbl>
    <w:p>
      <w:pPr>
        <w:spacing w:before="160"/>
      </w:pPr>
    </w:p>
    <w:p>
      <w:pPr>
        <w:pBdr>
          <w:left w:val="single" w:color="1E7A4D" w:sz="24" w:space="8"/>
        </w:pBdr>
        <w:spacing w:after="200" w:before="160" w:line="320"/>
        <w:ind w:left="240"/>
      </w:pPr>
      <w:r>
        <w:rPr>
          <w:i/>
          <w:iCs/>
          <w:color w:val="0F172A"/>
          <w:sz w:val="22"/>
          <w:szCs w:val="22"/>
        </w:rPr>
        <w:t xml:space="preserve">Cette grille adaptative est plus fine qu’un pourcentage fixe. Implémentation : 3 lignes côté backend, à la création de commande.</w:t>
      </w:r>
    </w:p>
    <w:p>
      <w:pPr>
        <w:pStyle w:val="Heading2"/>
        <w:spacing w:after="140" w:before="280"/>
      </w:pPr>
      <w:r>
        <w:rPr>
          <w:color w:val="0F172A"/>
        </w:rPr>
        <w:t xml:space="preserve">2.3 — Le tarif transporteur connu dès la commande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Le défi : l’acheteur veut voir le total à payer dès la commande. Le transporteur n’est pas encore désigné, mais le tarif doit être prévisible.</w:t>
      </w:r>
    </w:p>
    <w:p>
      <w:pPr>
        <w:pStyle w:val="Heading3"/>
        <w:spacing w:after="100" w:before="220"/>
      </w:pPr>
      <w:r>
        <w:rPr>
          <w:color w:val="0F172A"/>
        </w:rPr>
        <w:t xml:space="preserve">Solution : grille tarifaire FarmCash standardisée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FarmCash maintient une grille publique : prix transport = distance × tarif/km, ajusté par poids et type de véhicule. À la commande, l’app calcule automatiquement le tarif standard pour le trajet coop → acheteur.</w:t>
      </w:r>
    </w:p>
    <w:p>
      <w:pPr>
        <w:spacing w:after="120" w:line="320"/>
      </w:pPr>
      <w:r>
        <w:rPr>
          <w:b/>
          <w:bCs/>
          <w:i w:val="false"/>
          <w:iCs w:val="false"/>
          <w:color w:val="0F172A"/>
          <w:sz w:val="22"/>
          <w:szCs w:val="22"/>
        </w:rPr>
        <w:t xml:space="preserve">Exemple de formule simple : </w:t>
      </w:r>
      <w:r>
        <w:rPr>
          <w:color w:val="0F172A"/>
          <w:sz w:val="22"/>
          <w:szCs w:val="22"/>
        </w:rPr>
        <w:t xml:space="preserve">tarif = (distance_km × coût_km) + (poids_kg × surplus_kg). Avec coût_km à 350 F pour camion 5 T : 300 km × 350 = 105 000 F.</w:t>
      </w:r>
    </w:p>
    <w:p>
      <w:pPr>
        <w:pStyle w:val="Heading3"/>
        <w:spacing w:after="100" w:before="220"/>
      </w:pPr>
      <w:r>
        <w:rPr>
          <w:color w:val="0F172A"/>
        </w:rPr>
        <w:t xml:space="preserve">Comment construire la grille au démarrage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0F172A"/>
          <w:sz w:val="22"/>
          <w:szCs w:val="22"/>
        </w:rPr>
        <w:t xml:space="preserve">Récolte terrain (1 semaine) : </w:t>
      </w:r>
      <w:r>
        <w:rPr>
          <w:color w:val="0F172A"/>
          <w:sz w:val="22"/>
          <w:szCs w:val="22"/>
        </w:rPr>
        <w:t xml:space="preserve">interviewer 5 à 10 transporteurs réels à Bouaké, Yamoussoukro, Abidjan pour avoir les fourchettes de prix du marché.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0F172A"/>
          <w:sz w:val="22"/>
          <w:szCs w:val="22"/>
        </w:rPr>
        <w:t xml:space="preserve">Formule mathématique simple : </w:t>
      </w:r>
      <w:r>
        <w:rPr>
          <w:color w:val="0F172A"/>
          <w:sz w:val="22"/>
          <w:szCs w:val="22"/>
        </w:rPr>
        <w:t xml:space="preserve">distance × coût_km + bonus poids. Pas de complexité inutile.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0F172A"/>
          <w:sz w:val="22"/>
          <w:szCs w:val="22"/>
        </w:rPr>
        <w:t xml:space="preserve">Marge d’adoption : </w:t>
      </w:r>
      <w:r>
        <w:rPr>
          <w:color w:val="0F172A"/>
          <w:sz w:val="22"/>
          <w:szCs w:val="22"/>
        </w:rPr>
        <w:t xml:space="preserve">fixer la grille 5 à 10 % en dessous du marché informel — le transporteur perd un peu mais gagne en visibilité et en traçabilité revenus.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0F172A"/>
          <w:sz w:val="22"/>
          <w:szCs w:val="22"/>
        </w:rPr>
        <w:t xml:space="preserve">Ajustement mensuel : </w:t>
      </w:r>
      <w:r>
        <w:rPr>
          <w:color w:val="0F172A"/>
          <w:sz w:val="22"/>
          <w:szCs w:val="22"/>
        </w:rPr>
        <w:t xml:space="preserve">admin met à jour selon prix carburant, saison, état des routes.</w:t>
      </w:r>
    </w:p>
    <w:p>
      <w:pPr>
        <w:pStyle w:val="Heading2"/>
        <w:spacing w:after="140" w:before="280"/>
      </w:pPr>
      <w:r>
        <w:rPr>
          <w:color w:val="0F172A"/>
        </w:rPr>
        <w:t xml:space="preserve">2.4 — Tarification transporteur : modèle hybride recommandé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Trois modèles ont été comparés : grille fixe FarmCash, tarifs libres transporteur, hybride. Le modèle hybride combine le meilleur des deux mondes.</w:t>
      </w:r>
    </w:p>
    <w:p>
      <w:pPr>
        <w:pStyle w:val="Heading3"/>
        <w:spacing w:after="100" w:before="220"/>
      </w:pPr>
      <w:r>
        <w:rPr>
          <w:color w:val="0F172A"/>
        </w:rPr>
        <w:t xml:space="preserve">Comment ça marche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À l’inscription, le transporteur saisit juste son véhicule, sa capacité, ses zones préférées. Pas de tarif à configurer. Onboarding sous 3 minutes.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À chaque mission proposée, il reçoit une notification avec le tarif standard FarmCash calculé pour ce trajet.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Trois options : Accepter, Refuser, ou Proposer un autre prix avec justification (route cassée, urgence) — majoration ± 20 %.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Si majoration, contre-proposition envoyée à l’acheteur qui valide ou refuse.</w:t>
      </w:r>
    </w:p>
    <w:p>
      <w:pPr>
        <w:pBdr>
          <w:left w:val="single" w:color="1E7A4D" w:sz="24" w:space="8"/>
        </w:pBdr>
        <w:spacing w:after="200" w:before="160" w:line="320"/>
        <w:ind w:left="240"/>
      </w:pPr>
      <w:r>
        <w:rPr>
          <w:i/>
          <w:iCs/>
          <w:color w:val="0F172A"/>
          <w:sz w:val="22"/>
          <w:szCs w:val="22"/>
        </w:rPr>
        <w:t xml:space="preserve">Ce modèle évite la cacophonie de prix (acheteur voit toujours un prix de référence prévisible) tout en gardant une marge de flexibilité pour les cas réels du terrain.</w:t>
      </w:r>
    </w:p>
    <w:p>
      <w:r>
        <w:br w:type="page"/>
      </w:r>
    </w:p>
    <w:p>
      <w:pPr>
        <w:pStyle w:val="Heading1"/>
        <w:spacing w:after="200" w:before="360"/>
      </w:pPr>
      <w:r>
        <w:rPr>
          <w:color w:val="1E7A4D"/>
        </w:rPr>
        <w:t xml:space="preserve">3. Stratégie d’amorçage du crédit coop sans capital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FarmCash n’a pas de capital initial pour prêter aux coopératives. C’est OK : l’architecture de paiement étagé (section 2.2) résout 80 % du besoin sans avancer un franc.</w:t>
      </w:r>
    </w:p>
    <w:p>
      <w:pPr>
        <w:pStyle w:val="Heading2"/>
        <w:spacing w:after="140" w:before="280"/>
      </w:pPr>
      <w:r>
        <w:rPr>
          <w:color w:val="0F172A"/>
        </w:rPr>
        <w:t xml:space="preserve">3.1 — Cinq stratégies progressives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Du plus simple à mettre en œuvre au plus ambitieux, sur un horizon de 12 mois.</w:t>
      </w:r>
    </w:p>
    <w:p>
      <w:pPr>
        <w:pStyle w:val="Heading3"/>
        <w:spacing w:after="100" w:before="220"/>
      </w:pPr>
      <w:r>
        <w:rPr>
          <w:color w:val="0F172A"/>
        </w:rPr>
        <w:t xml:space="preserve">Option 1 — Paiement étagé acheteur (mois 1, zéro capital)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L’avance acheteur 20 % débloquée à la coop est suffisante pour qu’elle paye ses membres immédiatement. La coop opère sans avance FarmCash. C’est le mode par défaut.</w:t>
      </w:r>
    </w:p>
    <w:p>
      <w:pPr>
        <w:pStyle w:val="Heading3"/>
        <w:spacing w:after="100" w:before="220"/>
      </w:pPr>
      <w:r>
        <w:rPr>
          <w:color w:val="0F172A"/>
        </w:rPr>
        <w:t xml:space="preserve">Option 2 — Partenariat microfinance (mois 4 à 6)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0F172A"/>
          <w:sz w:val="22"/>
          <w:szCs w:val="22"/>
        </w:rPr>
        <w:t xml:space="preserve">Acteurs à approcher : </w:t>
      </w:r>
      <w:r>
        <w:rPr>
          <w:color w:val="0F172A"/>
          <w:sz w:val="22"/>
          <w:szCs w:val="22"/>
        </w:rPr>
        <w:t xml:space="preserve">COFINA, ADVANS Côte d’Ivoire, MicroCred CI, Baobab+, Banque Atlantique, BOA agri.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FarmCash devient apporteur d’affaires : transmet le dossier coop avec son scoring interne (historique ventes, livraisons réussies, notes acheteurs).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La microfinance vire, FarmCash rembourse automatiquement au release escrow.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Marge partagée FarmCash / microfinance.</w:t>
      </w:r>
    </w:p>
    <w:p>
      <w:pPr>
        <w:pStyle w:val="Heading3"/>
        <w:spacing w:after="100" w:before="220"/>
      </w:pPr>
      <w:r>
        <w:rPr>
          <w:color w:val="0F172A"/>
        </w:rPr>
        <w:t xml:space="preserve">Option 3 — Pool donateurs / subventions (mois 6 à 12)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0F172A"/>
          <w:sz w:val="22"/>
          <w:szCs w:val="22"/>
        </w:rPr>
        <w:t xml:space="preserve">Sources possibles : </w:t>
      </w:r>
      <w:r>
        <w:rPr>
          <w:color w:val="0F172A"/>
          <w:sz w:val="22"/>
          <w:szCs w:val="22"/>
        </w:rPr>
        <w:t xml:space="preserve">FIRCA, PEJEDEC (Banque Mondiale), AFD, USAID West Africa, ANADER, Fondation Mastercard, Fondation Gates Agri.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Lever 50 à 100 millions F en don ou prêt taux zéro.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Utiliser ce pool comme fonds revolving pour les avances coop.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Les intérêts récoltés alimentent le pool — auto-financement.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Reporting transparent aux donateurs (impact social mesurable).</w:t>
      </w:r>
    </w:p>
    <w:p>
      <w:pPr>
        <w:pStyle w:val="Heading3"/>
        <w:spacing w:after="100" w:before="220"/>
      </w:pPr>
      <w:r>
        <w:rPr>
          <w:color w:val="0F172A"/>
        </w:rPr>
        <w:t xml:space="preserve">Option 4 — Mutualisation coops (mois 6+)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Plusieurs coops établies mettent un fonds commun (mutuelle de solidarité interne FarmCash). Une coop en besoin emprunte au pool, remboursé au release escrow. Modèle tontine modernisé.</w:t>
      </w:r>
    </w:p>
    <w:p>
      <w:pPr>
        <w:pStyle w:val="Heading3"/>
        <w:spacing w:after="100" w:before="220"/>
      </w:pPr>
      <w:r>
        <w:rPr>
          <w:color w:val="0F172A"/>
        </w:rPr>
        <w:t xml:space="preserve">Option 5 — Levée série A (mois 12+)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Quand FarmCash aura 6 à 12 mois d’historique avec GMV mesurable (&gt; 1 Md F), VC africains accessibles : Partech Africa, Norrsken22, Janngo Capital, Orange Ventures, ou fonds agri spécialisés (AgFunder, AlphaMundi, Acumen).</w:t>
      </w:r>
    </w:p>
    <w:p>
      <w:pPr>
        <w:pStyle w:val="Heading2"/>
        <w:spacing w:after="140" w:before="280"/>
      </w:pPr>
      <w:r>
        <w:rPr>
          <w:color w:val="0F172A"/>
        </w:rPr>
        <w:t xml:space="preserve">3.2 — Le vrai actif : le scoring interne FarmCash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Dès le jour 1, FarmCash collecte de la donnée sur chaque coop : nombre de ventes réussies, nombre de litiges, délai moyen de livraison, volume mensuel, note acheteurs, stabilité des membres.</w:t>
      </w:r>
    </w:p>
    <w:p>
      <w:pPr>
        <w:pBdr>
          <w:left w:val="single" w:color="1E7A4D" w:sz="24" w:space="8"/>
        </w:pBdr>
        <w:spacing w:after="200" w:before="160" w:line="320"/>
        <w:ind w:left="240"/>
      </w:pPr>
      <w:r>
        <w:rPr>
          <w:i/>
          <w:iCs/>
          <w:color w:val="0F172A"/>
          <w:sz w:val="22"/>
          <w:szCs w:val="22"/>
        </w:rPr>
        <w:t xml:space="preserve">Au bout de 6 mois, FarmCash aura le meilleur scoring agricole de Côte d’Ivoire. C’est cette donnée — pas un capital — qui ouvrira les portes des microfinances et permettra de négocier un accès aux fonds en marque blanche. La donnée vaut plus que le capital initial.</w:t>
      </w:r>
    </w:p>
    <w:p>
      <w:r>
        <w:br w:type="page"/>
      </w:r>
    </w:p>
    <w:p>
      <w:pPr>
        <w:pStyle w:val="Heading1"/>
        <w:spacing w:after="200" w:before="360"/>
      </w:pPr>
      <w:r>
        <w:rPr>
          <w:color w:val="1E7A4D"/>
        </w:rPr>
        <w:t xml:space="preserve">4. Ce qui fonctionne déjà bien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Quatre choix d’architecture sont aujourd’hui des actifs différenciants à préserver.</w:t>
      </w:r>
    </w:p>
    <w:p>
      <w:pPr>
        <w:pStyle w:val="Heading3"/>
        <w:spacing w:after="100" w:before="220"/>
      </w:pPr>
      <w:r>
        <w:rPr>
          <w:color w:val="0F172A"/>
        </w:rPr>
        <w:t xml:space="preserve">4.1 — Coopérative comme agrégateur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Positionner le groupement villageois comme pivot — plutôt que de viser le producteur isolé. C’est métier-juste pour la Côte d’Ivoire rurale, où les producteurs sont trop fragmentés pour vendre seuls aux industriels.</w:t>
      </w:r>
    </w:p>
    <w:p>
      <w:pPr>
        <w:pStyle w:val="Heading3"/>
        <w:spacing w:after="100" w:before="220"/>
      </w:pPr>
      <w:r>
        <w:rPr>
          <w:color w:val="0F172A"/>
        </w:rPr>
        <w:t xml:space="preserve">4.2 — Escrow obligatoire + distribution automatique au prorata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L’argent reste bloqué jusqu’à confirmation, puis est redistribué automatiquement aux producteurs membres selon leur quote-part. Élimine la principale source de litige (« la coop a encaissé mais ne me paye pas »).</w:t>
      </w:r>
    </w:p>
    <w:p>
      <w:pPr>
        <w:pStyle w:val="Heading3"/>
        <w:spacing w:after="100" w:before="220"/>
      </w:pPr>
      <w:r>
        <w:rPr>
          <w:color w:val="0F172A"/>
        </w:rPr>
        <w:t xml:space="preserve">4.3 — Managed accounts (membres sans téléphone)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Reconnaître la réalité terrain : 40 à 60 % des producteurs ruraux n’ont pas de smartphone. La coop les enregistre, gère leurs annonces et reçoit leurs paiements. Avantage compétitif majeur face à Twiga, Apollo, Komaza qui imposent le smartphone.</w:t>
      </w:r>
    </w:p>
    <w:p>
      <w:pPr>
        <w:pStyle w:val="Heading3"/>
        <w:spacing w:after="100" w:before="220"/>
      </w:pPr>
      <w:r>
        <w:rPr>
          <w:color w:val="0F172A"/>
        </w:rPr>
        <w:t xml:space="preserve">4.4 — Sollicitations + lots agrégés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La coopérative ne se contente pas d’annuaire passif : elle sollicite ses membres en réponse aux demandes acheteurs et publie des lots agrégés. Matérialisation du rôle d’orchestrateur — bien rare dans l’écosystème.</w:t>
      </w:r>
    </w:p>
    <w:p>
      <w:r>
        <w:br w:type="page"/>
      </w:r>
    </w:p>
    <w:p>
      <w:pPr>
        <w:pStyle w:val="Heading1"/>
        <w:spacing w:after="200" w:before="360"/>
      </w:pPr>
      <w:r>
        <w:rPr>
          <w:color w:val="1E7A4D"/>
        </w:rPr>
        <w:t xml:space="preserve">5. Sept axes d’amélioration stratégique</w:t>
      </w:r>
    </w:p>
    <w:p>
      <w:pPr>
        <w:spacing w:after="120" w:line="320"/>
        <w:jc w:val="left"/>
      </w:pPr>
      <w:r>
        <w:rPr>
          <w:b w:val="false"/>
          <w:bCs w:val="false"/>
          <w:i/>
          <w:iCs/>
          <w:color w:val="4A5568"/>
          <w:sz w:val="22"/>
          <w:szCs w:val="22"/>
        </w:rPr>
        <w:t xml:space="preserve">Axes classés par impact business décroissant. Les trois premiers conditionnent la mise à l’échelle.</w:t>
      </w:r>
    </w:p>
    <w:p>
      <w:pPr>
        <w:pStyle w:val="Heading2"/>
        <w:spacing w:after="140" w:before="280"/>
      </w:pPr>
      <w:r>
        <w:rPr>
          <w:color w:val="0F172A"/>
        </w:rPr>
        <w:t xml:space="preserve">5.1 — Paiement étagé acheteur (priorité absolue)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Voir section 2.2. Solution sans capital FarmCash pour servir les petites coopératives villageoises dès le mois 1.</w:t>
      </w:r>
    </w:p>
    <w:p>
      <w:pPr>
        <w:pStyle w:val="Heading2"/>
        <w:spacing w:after="140" w:before="280"/>
      </w:pPr>
      <w:r>
        <w:rPr>
          <w:color w:val="0F172A"/>
        </w:rPr>
        <w:t xml:space="preserve">5.2 — Plan d’approvisionnement B2B + contrats à terme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Problème 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Une brasserie veut 50 t/mois pendant 6 mois. Publier une demande spot et attendre des candidatures n’est pas un mode opératoire crédible pour sa supply chain.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Solution 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0F172A"/>
          <w:sz w:val="22"/>
          <w:szCs w:val="22"/>
        </w:rPr>
        <w:t xml:space="preserve">Plan d’approvisionnement </w:t>
      </w:r>
      <w:r>
        <w:rPr>
          <w:color w:val="0F172A"/>
          <w:sz w:val="22"/>
          <w:szCs w:val="22"/>
        </w:rPr>
        <w:t xml:space="preserve">publié par l’acheteur (qté × mois × délais).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0F172A"/>
          <w:sz w:val="22"/>
          <w:szCs w:val="22"/>
        </w:rPr>
        <w:t xml:space="preserve">Contrats à terme </w:t>
      </w:r>
      <w:r>
        <w:rPr>
          <w:color w:val="0F172A"/>
          <w:sz w:val="22"/>
          <w:szCs w:val="22"/>
        </w:rPr>
        <w:t xml:space="preserve">signés numériquement, libération mensuelle de tranches.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0F172A"/>
          <w:sz w:val="22"/>
          <w:szCs w:val="22"/>
        </w:rPr>
        <w:t xml:space="preserve">Tableau de bord coop </w:t>
      </w:r>
      <w:r>
        <w:rPr>
          <w:color w:val="0F172A"/>
          <w:sz w:val="22"/>
          <w:szCs w:val="22"/>
        </w:rPr>
        <w:t xml:space="preserve">qui suit l’avancement des engagements.</w:t>
      </w:r>
    </w:p>
    <w:p>
      <w:pPr>
        <w:pStyle w:val="Heading2"/>
        <w:spacing w:after="140" w:before="280"/>
      </w:pPr>
      <w:r>
        <w:rPr>
          <w:color w:val="0F172A"/>
        </w:rPr>
        <w:t xml:space="preserve">5.3 — Cash physique vs paiement digital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Problème : 80 % et plus des paiements ruraux en CI restent en espèces.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Solution 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Acheteur réserve avec mini-dépôt 5 % en escrow.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Paye le reste en espèces à la livraison.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Agent FarmCash terrain (ou transporteur formé) scanne le QR et valide le cash reçu.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L’agent dépose le cash auprès d’un partenaire agréé (CCP, Postes ivoiriennes, kiosque mobile money).</w:t>
      </w:r>
    </w:p>
    <w:p>
      <w:pPr>
        <w:pStyle w:val="Heading2"/>
        <w:spacing w:after="140" w:before="280"/>
      </w:pPr>
      <w:r>
        <w:rPr>
          <w:color w:val="0F172A"/>
        </w:rPr>
        <w:t xml:space="preserve">5.4 — Transport coop interne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En CI rurale, la coopérative transporte souvent avec ses propres véhicules. Le flow actuel force à passer par un transporteur externe.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Mode « Transport coop interne » qui shunt le marketplace transporteur.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La coop déclare simplement qui livre et quand.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0F172A"/>
          <w:sz w:val="22"/>
          <w:szCs w:val="22"/>
        </w:rPr>
        <w:t xml:space="preserve">Évite de demander un transporteur quand il n’y en a pas (zones reculées).</w:t>
      </w:r>
    </w:p>
    <w:p>
      <w:pPr>
        <w:pStyle w:val="Heading2"/>
        <w:spacing w:after="140" w:before="280"/>
      </w:pPr>
      <w:r>
        <w:rPr>
          <w:color w:val="0F172A"/>
        </w:rPr>
        <w:t xml:space="preserve">5.5 — Ambassadeurs locaux (confiance villageoise)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En CI rurale, la confiance se construit au village, pas via une note 4.7/5. Un acheteur fait confiance à un président de coop qu’il connaît personnellement.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0F172A"/>
          <w:sz w:val="22"/>
          <w:szCs w:val="22"/>
        </w:rPr>
        <w:t xml:space="preserve">Ambassadeurs locaux </w:t>
      </w:r>
      <w:r>
        <w:rPr>
          <w:color w:val="0F172A"/>
          <w:sz w:val="22"/>
          <w:szCs w:val="22"/>
        </w:rPr>
        <w:t xml:space="preserve">(chefs de village, agents ANADER, anciens présidents fiables).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0F172A"/>
          <w:sz w:val="22"/>
          <w:szCs w:val="22"/>
        </w:rPr>
        <w:t xml:space="preserve">Parrainage public </w:t>
      </w:r>
      <w:r>
        <w:rPr>
          <w:color w:val="0F172A"/>
          <w:sz w:val="22"/>
          <w:szCs w:val="22"/>
        </w:rPr>
        <w:t xml:space="preserve">des coopératives affiché côté acheteur : « Coop parrainée par M. Konan, ANADER Bouaké ».</w:t>
      </w:r>
    </w:p>
    <w:p>
      <w:pPr>
        <w:pStyle w:val="Heading2"/>
        <w:spacing w:after="140" w:before="280"/>
      </w:pPr>
      <w:r>
        <w:rPr>
          <w:color w:val="0F172A"/>
        </w:rPr>
        <w:t xml:space="preserve">5.6 — Monétisation diversifiée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3 % de commission seul est insuffisant à l’échelle. Sources de revenus à industrialiser 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0F172A"/>
          <w:sz w:val="22"/>
          <w:szCs w:val="22"/>
        </w:rPr>
        <w:t xml:space="preserve">Avances coop </w:t>
      </w:r>
      <w:r>
        <w:rPr>
          <w:color w:val="0F172A"/>
          <w:sz w:val="22"/>
          <w:szCs w:val="22"/>
        </w:rPr>
        <w:t xml:space="preserve">(intérêt 2 à 3 % par cycle de 15 jours, ~50–70 % APR — standard microfinance CI).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0F172A"/>
          <w:sz w:val="22"/>
          <w:szCs w:val="22"/>
        </w:rPr>
        <w:t xml:space="preserve">Assurance récolte </w:t>
      </w:r>
      <w:r>
        <w:rPr>
          <w:color w:val="0F172A"/>
          <w:sz w:val="22"/>
          <w:szCs w:val="22"/>
        </w:rPr>
        <w:t xml:space="preserve">commission 10 à 15 % sur primes Allianz CI / Atlantique.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0F172A"/>
          <w:sz w:val="22"/>
          <w:szCs w:val="22"/>
        </w:rPr>
        <w:t xml:space="preserve">Subscription coop « Premium » </w:t>
      </w:r>
      <w:r>
        <w:rPr>
          <w:color w:val="0F172A"/>
          <w:sz w:val="22"/>
          <w:szCs w:val="22"/>
        </w:rPr>
        <w:t xml:space="preserve">5 000 à 10 000 F/mois : analytics ventes, accès B2B prioritaire, export PDF mensuel.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0F172A"/>
          <w:sz w:val="22"/>
          <w:szCs w:val="22"/>
        </w:rPr>
        <w:t xml:space="preserve">Données agricoles anonymisées </w:t>
      </w:r>
      <w:r>
        <w:rPr>
          <w:color w:val="0F172A"/>
          <w:sz w:val="22"/>
          <w:szCs w:val="22"/>
        </w:rPr>
        <w:t xml:space="preserve">vendues aux banques (BICICI, SGBCI), ministère, ONG, assureurs — 5 à 10 millions F/an.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0F172A"/>
          <w:sz w:val="22"/>
          <w:szCs w:val="22"/>
        </w:rPr>
        <w:t xml:space="preserve">Commission transporteur </w:t>
      </w:r>
      <w:r>
        <w:rPr>
          <w:color w:val="0F172A"/>
          <w:sz w:val="22"/>
          <w:szCs w:val="22"/>
        </w:rPr>
        <w:t xml:space="preserve">à 10 % (et non 0,5 %) — pratique standard Yango / Heetch.</w:t>
      </w:r>
    </w:p>
    <w:p>
      <w:pPr>
        <w:pStyle w:val="Heading2"/>
        <w:spacing w:after="140" w:before="280"/>
      </w:pPr>
      <w:r>
        <w:rPr>
          <w:color w:val="0F172A"/>
        </w:rPr>
        <w:t xml:space="preserve">5.7 — Acquisition rurale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Construire l’app est maîtrisé. Remplir l’app d’utilisateurs ruraux est le vrai défi.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0F172A"/>
          <w:sz w:val="22"/>
          <w:szCs w:val="22"/>
        </w:rPr>
        <w:t xml:space="preserve">Onboarding via les coopératives — </w:t>
      </w:r>
      <w:r>
        <w:rPr>
          <w:color w:val="0F172A"/>
          <w:sz w:val="22"/>
          <w:szCs w:val="22"/>
        </w:rPr>
        <w:t xml:space="preserve">1 président équipé = 30 à 50 producteurs onboardés en une journée via managed accounts.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0F172A"/>
          <w:sz w:val="22"/>
          <w:szCs w:val="22"/>
        </w:rPr>
        <w:t xml:space="preserve">Agents terrain rémunérés </w:t>
      </w:r>
      <w:r>
        <w:rPr>
          <w:color w:val="0F172A"/>
          <w:sz w:val="22"/>
          <w:szCs w:val="22"/>
        </w:rPr>
        <w:t xml:space="preserve">en commission 3 % du GMV apporté les 6 premiers mois.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0F172A"/>
          <w:sz w:val="22"/>
          <w:szCs w:val="22"/>
        </w:rPr>
        <w:t xml:space="preserve">Partenariat ANADER </w:t>
      </w:r>
      <w:r>
        <w:rPr>
          <w:color w:val="0F172A"/>
          <w:sz w:val="22"/>
          <w:szCs w:val="22"/>
        </w:rPr>
        <w:t xml:space="preserve">(agence dev rural) — leurs commerciaux sont déjà sur le terrain.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0F172A"/>
          <w:sz w:val="22"/>
          <w:szCs w:val="22"/>
        </w:rPr>
        <w:t xml:space="preserve">Radio rurale </w:t>
      </w:r>
      <w:r>
        <w:rPr>
          <w:color w:val="0F172A"/>
          <w:sz w:val="22"/>
          <w:szCs w:val="22"/>
        </w:rPr>
        <w:t xml:space="preserve">en bambara, dioula, baoulé — pas seulement français.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0F172A"/>
          <w:sz w:val="22"/>
          <w:szCs w:val="22"/>
        </w:rPr>
        <w:t xml:space="preserve">WhatsApp Business </w:t>
      </w:r>
      <w:r>
        <w:rPr>
          <w:color w:val="0F172A"/>
          <w:sz w:val="22"/>
          <w:szCs w:val="22"/>
        </w:rPr>
        <w:t xml:space="preserve">comme passerelle d’entrée bas friction.</w:t>
      </w:r>
    </w:p>
    <w:p>
      <w:r>
        <w:br w:type="page"/>
      </w:r>
    </w:p>
    <w:p>
      <w:pPr>
        <w:pStyle w:val="Heading1"/>
        <w:spacing w:after="200" w:before="360"/>
      </w:pPr>
      <w:r>
        <w:rPr>
          <w:color w:val="1E7A4D"/>
        </w:rPr>
        <w:t xml:space="preserve">6. Top 3 priorités V2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Trois chantiers à mener dans les 6 prochains mois. Tous sans capital FarmCash propre.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3500"/>
        <w:gridCol w:w="20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Chantier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Pourquoi prioritaire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Effort estimé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E7A4D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Paiement étagé acheteur (20 % + 80 %)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color w:val="0F172A"/>
                <w:sz w:val="22"/>
                <w:szCs w:val="22"/>
              </w:rPr>
              <w:t xml:space="preserve">Débloque toute la cible petites coops villageoises sans capital FarmCash. Pré-requis n°1.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color w:val="0F172A"/>
                <w:sz w:val="22"/>
                <w:szCs w:val="22"/>
              </w:rPr>
              <w:t xml:space="preserve">1 à 2 semaines de dev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E7A4D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Grille tarifaire transporteur + distribution multi-parties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color w:val="0F172A"/>
                <w:sz w:val="22"/>
                <w:szCs w:val="22"/>
              </w:rPr>
              <w:t xml:space="preserve">Permet d’afficher un total transparent à la commande et de payer transporteur + vendeur + FarmCash automatiquement.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color w:val="0F172A"/>
                <w:sz w:val="22"/>
                <w:szCs w:val="22"/>
              </w:rPr>
              <w:t xml:space="preserve">1 semaine de dev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1E7A4D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b/>
                <w:bCs/>
                <w:color w:val="0F172A"/>
                <w:sz w:val="22"/>
                <w:szCs w:val="22"/>
              </w:rPr>
              <w:t xml:space="preserve">Plan d’approvisionnement B2B + contrats à terme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color w:val="0F172A"/>
                <w:sz w:val="22"/>
                <w:szCs w:val="22"/>
              </w:rPr>
              <w:t xml:space="preserve">Capture les gros acheteurs industriels qui sont la clé du modèle économique.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color w:val="0F172A"/>
                <w:sz w:val="22"/>
                <w:szCs w:val="22"/>
              </w:rPr>
              <w:t xml:space="preserve">2 sprints (4 semaines)</w:t>
            </w:r>
          </w:p>
        </w:tc>
      </w:tr>
    </w:tbl>
    <w:p>
      <w:pPr>
        <w:spacing w:before="200"/>
      </w:pPr>
    </w:p>
    <w:p>
      <w:pPr>
        <w:spacing w:after="120" w:line="320"/>
        <w:jc w:val="left"/>
      </w:pPr>
      <w:r>
        <w:rPr>
          <w:b w:val="false"/>
          <w:bCs w:val="false"/>
          <w:i/>
          <w:iCs/>
          <w:color w:val="4A5568"/>
          <w:sz w:val="22"/>
          <w:szCs w:val="22"/>
        </w:rPr>
        <w:t xml:space="preserve">Les autres axes (cash livraison, transport coop interne, ambassadeurs, monétisation élargie, acquisition) sont des amplificateurs qui peuvent être menés en parallèle.</w:t>
      </w:r>
    </w:p>
    <w:p>
      <w:pPr>
        <w:pStyle w:val="Heading1"/>
        <w:spacing w:after="200" w:before="360"/>
      </w:pPr>
      <w:r>
        <w:rPr>
          <w:color w:val="1E7A4D"/>
        </w:rPr>
        <w:t xml:space="preserve">7. Note sur le risque concurrentiel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Le secteur agri-tech africain s’active. Plusieurs acteurs ont des moyens et regardent les marchés ouest-africains.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0F172A"/>
          <w:sz w:val="22"/>
          <w:szCs w:val="22"/>
        </w:rPr>
        <w:t xml:space="preserve">Apollo Agriculture </w:t>
      </w:r>
      <w:r>
        <w:rPr>
          <w:color w:val="0F172A"/>
          <w:sz w:val="22"/>
          <w:szCs w:val="22"/>
        </w:rPr>
        <w:t xml:space="preserve">(Kenya, 200 M$ levés) — finance + intrants + assurance pour petits producteurs.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0F172A"/>
          <w:sz w:val="22"/>
          <w:szCs w:val="22"/>
        </w:rPr>
        <w:t xml:space="preserve">Twiga Foods </w:t>
      </w:r>
      <w:r>
        <w:rPr>
          <w:color w:val="0F172A"/>
          <w:sz w:val="22"/>
          <w:szCs w:val="22"/>
        </w:rPr>
        <w:t xml:space="preserve">(Kenya) — grossiste B2B intermédié, vise les marchés urbains.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0F172A"/>
          <w:sz w:val="22"/>
          <w:szCs w:val="22"/>
        </w:rPr>
        <w:t xml:space="preserve">Komaza </w:t>
      </w:r>
      <w:r>
        <w:rPr>
          <w:color w:val="0F172A"/>
          <w:sz w:val="22"/>
          <w:szCs w:val="22"/>
        </w:rPr>
        <w:t xml:space="preserve">(Kenya) — modèle outgrowers forestier, intégration verticale poussée.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color w:val="0F172A"/>
          <w:sz w:val="22"/>
          <w:szCs w:val="22"/>
        </w:rPr>
        <w:t xml:space="preserve">Acteurs locaux CI </w:t>
      </w:r>
      <w:r>
        <w:rPr>
          <w:color w:val="0F172A"/>
          <w:sz w:val="22"/>
          <w:szCs w:val="22"/>
        </w:rPr>
        <w:t xml:space="preserve">— Sayna, HelloFarmer, Agriedge. Encore fragmentés et sous-financés.</w:t>
      </w:r>
    </w:p>
    <w:p>
      <w:pPr>
        <w:pStyle w:val="Heading3"/>
        <w:spacing w:after="100" w:before="220"/>
      </w:pPr>
      <w:r>
        <w:rPr>
          <w:color w:val="0F172A"/>
        </w:rPr>
        <w:t xml:space="preserve">Différenciateur défendable pour FarmCash</w:t>
      </w:r>
    </w:p>
    <w:p>
      <w:pPr>
        <w:spacing w:after="120" w:line="320"/>
        <w:jc w:val="left"/>
      </w:pPr>
      <w:r>
        <w:rPr>
          <w:b w:val="false"/>
          <w:bCs w:val="false"/>
          <w:i w:val="false"/>
          <w:iCs w:val="false"/>
          <w:color w:val="0F172A"/>
          <w:sz w:val="22"/>
          <w:szCs w:val="22"/>
        </w:rPr>
        <w:t xml:space="preserve">L’angle unique de FarmCash reste le rôle pivot du groupement villageois, là où la quasi-totalité des concurrents vise le producteur individuel. C’est plus aligné avec la réalité ivoirienne — les groupements sont une structure sociale ancrée, pas une création artificielle.</w:t>
      </w:r>
    </w:p>
    <w:p>
      <w:pPr>
        <w:spacing w:after="120" w:line="320"/>
      </w:pPr>
      <w:r>
        <w:rPr>
          <w:color w:val="0F172A"/>
          <w:sz w:val="22"/>
          <w:szCs w:val="22"/>
        </w:rPr>
        <w:t xml:space="preserve">Trois conseils défensifs : </w:t>
      </w:r>
      <w:r>
        <w:rPr>
          <w:b/>
          <w:bCs/>
          <w:i w:val="false"/>
          <w:iCs w:val="false"/>
          <w:color w:val="0F172A"/>
          <w:sz w:val="22"/>
          <w:szCs w:val="22"/>
        </w:rPr>
        <w:t xml:space="preserve">verrouiller les partenariats institutionnels rapidement </w:t>
      </w:r>
      <w:r>
        <w:rPr>
          <w:color w:val="0F172A"/>
          <w:sz w:val="22"/>
          <w:szCs w:val="22"/>
        </w:rPr>
        <w:t xml:space="preserve">(ANADER, ministère de l’Agriculture, Conseil Café-Cacao), </w:t>
      </w:r>
      <w:r>
        <w:rPr>
          <w:b/>
          <w:bCs/>
          <w:i w:val="false"/>
          <w:iCs w:val="false"/>
          <w:color w:val="0F172A"/>
          <w:sz w:val="22"/>
          <w:szCs w:val="22"/>
        </w:rPr>
        <w:t xml:space="preserve">lever en série A </w:t>
      </w:r>
      <w:r>
        <w:rPr>
          <w:color w:val="0F172A"/>
          <w:sz w:val="22"/>
          <w:szCs w:val="22"/>
        </w:rPr>
        <w:t xml:space="preserve">pour avoir le runway nécessaire à la phase d’acquisition, et </w:t>
      </w:r>
      <w:r>
        <w:rPr>
          <w:b/>
          <w:bCs/>
          <w:i w:val="false"/>
          <w:iCs w:val="false"/>
          <w:color w:val="0F172A"/>
          <w:sz w:val="22"/>
          <w:szCs w:val="22"/>
        </w:rPr>
        <w:t xml:space="preserve">capitaliser sur le réseau coopératif </w:t>
      </w:r>
      <w:r>
        <w:rPr>
          <w:color w:val="0F172A"/>
          <w:sz w:val="22"/>
          <w:szCs w:val="22"/>
        </w:rPr>
        <w:t xml:space="preserve">comme barrière à l’entrée — les nouveaux entrants devront repartir de zéro côté trust local.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8"/>
        <w:szCs w:val="18"/>
      </w:rPr>
      <w:t xml:space="preserve">FarmCash — Note stratégique V2 — 6 juin 2026 — Page </w:t>
    </w:r>
    <w:r>
      <w:rPr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2026-06-09T20:43:03.567Z</dcterms:created>
  <dcterms:modified xsi:type="dcterms:W3CDTF">2026-06-09T20:43:03.567Z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