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945hqoi0kv3z" w:id="0"/>
      <w:bookmarkEnd w:id="0"/>
      <w:r w:rsidDel="00000000" w:rsidR="00000000" w:rsidRPr="00000000">
        <w:rPr>
          <w:rtl w:val="0"/>
        </w:rPr>
        <w:t xml:space="preserve">Predicting Patients’ Attrition in Clinical Trials</w:t>
      </w:r>
    </w:p>
    <w:p w:rsidR="00000000" w:rsidDel="00000000" w:rsidP="00000000" w:rsidRDefault="00000000" w:rsidRPr="00000000" w14:paraId="00000002">
      <w:pPr>
        <w:pStyle w:val="Subtitle"/>
        <w:rPr>
          <w:rFonts w:ascii="Helvetica Neue" w:cs="Helvetica Neue" w:eastAsia="Helvetica Neue" w:hAnsi="Helvetica Neue"/>
          <w:sz w:val="18"/>
          <w:szCs w:val="18"/>
        </w:rPr>
      </w:pPr>
      <w:bookmarkStart w:colFirst="0" w:colLast="0" w:name="_a6da1j2e2jxi" w:id="1"/>
      <w:bookmarkEnd w:id="1"/>
      <w:r w:rsidDel="00000000" w:rsidR="00000000" w:rsidRPr="00000000">
        <w:rPr>
          <w:rFonts w:ascii="Helvetica Neue" w:cs="Helvetica Neue" w:eastAsia="Helvetica Neue" w:hAnsi="Helvetica Neue"/>
          <w:sz w:val="22"/>
          <w:szCs w:val="22"/>
          <w:rtl w:val="0"/>
        </w:rPr>
        <w:t xml:space="preserve">Team 3a: Stephanie Araki, Pari Shah, Samantha Zocher</w:t>
      </w:r>
      <w:r w:rsidDel="00000000" w:rsidR="00000000" w:rsidRPr="00000000">
        <w:rPr>
          <w:rtl w:val="0"/>
        </w:rPr>
      </w:r>
    </w:p>
    <w:p w:rsidR="00000000" w:rsidDel="00000000" w:rsidP="00000000" w:rsidRDefault="00000000" w:rsidRPr="00000000" w14:paraId="00000003">
      <w:pPr>
        <w:pStyle w:val="Heading1"/>
        <w:keepNext w:val="0"/>
        <w:keepLines w:val="0"/>
        <w:spacing w:after="80" w:before="280" w:lineRule="auto"/>
        <w:rPr/>
      </w:pPr>
      <w:bookmarkStart w:colFirst="0" w:colLast="0" w:name="_zbufsabj8pyh" w:id="2"/>
      <w:bookmarkEnd w:id="2"/>
      <w:r w:rsidDel="00000000" w:rsidR="00000000" w:rsidRPr="00000000">
        <w:rPr>
          <w:rFonts w:ascii="Helvetica Neue" w:cs="Helvetica Neue" w:eastAsia="Helvetica Neue" w:hAnsi="Helvetica Neue"/>
          <w:rtl w:val="0"/>
        </w:rPr>
        <w:t xml:space="preserve">Summary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Clinical trials are vital to the development of new therapeutic interventions but one of the most significant challenges is patient attrition, which can compromise study integrity and delay progress. This study seeks to predict patient attrition in clinical trials using machine learning (ML) techniques. By leveraging publicly available data from the ClinicalTrials.gov database, our approach identifies key factors influencing attrition, evaluates three machine learning methods for predictive accuracy, and visualizes geographic patterns in attrition rates. Our analysis provides a data-driven approach to understanding attrition and offers insights that could help design better clinical trials, potentially improving retention and study outcomes. Understanding the factors that attribute to attrition rates could improve trial efficiency, reduce bias in study populations, and lower costs.</w:t>
      </w:r>
      <w:r w:rsidDel="00000000" w:rsidR="00000000" w:rsidRPr="00000000">
        <w:rPr>
          <w:rtl w:val="0"/>
        </w:rPr>
      </w:r>
    </w:p>
    <w:p w:rsidR="00000000" w:rsidDel="00000000" w:rsidP="00000000" w:rsidRDefault="00000000" w:rsidRPr="00000000" w14:paraId="00000005">
      <w:pPr>
        <w:pStyle w:val="Heading1"/>
        <w:keepNext w:val="0"/>
        <w:keepLines w:val="0"/>
        <w:spacing w:after="80" w:before="280" w:lineRule="auto"/>
        <w:rPr/>
      </w:pPr>
      <w:bookmarkStart w:colFirst="0" w:colLast="0" w:name="_alvxpe4dy94b" w:id="3"/>
      <w:bookmarkEnd w:id="3"/>
      <w:r w:rsidDel="00000000" w:rsidR="00000000" w:rsidRPr="00000000">
        <w:rPr>
          <w:rFonts w:ascii="Helvetica Neue" w:cs="Helvetica Neue" w:eastAsia="Helvetica Neue" w:hAnsi="Helvetica Neue"/>
          <w:rtl w:val="0"/>
        </w:rPr>
        <w:t xml:space="preserve">Background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Clinical trials represent a cornerstone in the drug development process, yet they consistently face challenges that impact their successful completion and the subsequent determination of therapeutic efficacy. One of the primary hurdles is patient attrition—where enrolled patients withdraw from the trial, either before randomization or post-randomization, leading to significant delays and potential biases in trial outcomes. These withdrawals can result from various factors including adverse events, logistical issues, and personal reasons, such as changes in health or lifestyle. High attrition rates undermine the statistical power of the trial, introducing bias and potentially leading to the failure of a study to achieve its objectives (Bell et al., 2013; Burge et al., 2000).</w:t>
      </w:r>
    </w:p>
    <w:p w:rsidR="00000000" w:rsidDel="00000000" w:rsidP="00000000" w:rsidRDefault="00000000" w:rsidRPr="00000000" w14:paraId="00000007">
      <w:pPr>
        <w:ind w:left="0" w:firstLine="0"/>
        <w:rPr/>
      </w:pPr>
      <w:r w:rsidDel="00000000" w:rsidR="00000000" w:rsidRPr="00000000">
        <w:rPr>
          <w:rtl w:val="0"/>
        </w:rPr>
        <w:t xml:space="preserve">Attrition rates vary considerably across clinical trials, influenced by factors specific to the indication, the therapeutic agent being tested, and the trial protocol. For example, trials for antipsychotic medications have reported patient attrition rates as high as 67% in placebo groups (Khan et al., 2001). A review of attrition rates in clinical trials highlighted that approximately 18% of trials surveyed had attrition rates exceeding 20% (Wood et al., 2004). These disparities indicate that understanding the drivers of patient attrition is crucial for improving trial designs and enhancing patient retention strategies. Factors such as patient demographics, trial location, and the quality of medical care have all been implicated in driving attrition. For instance, in pediatric asthma trials, the age of the caretaker was identified as a significant predictor of attrition (Zebracki et al., 2003).</w:t>
      </w:r>
    </w:p>
    <w:p w:rsidR="00000000" w:rsidDel="00000000" w:rsidP="00000000" w:rsidRDefault="00000000" w:rsidRPr="00000000" w14:paraId="00000008">
      <w:pPr>
        <w:ind w:left="0" w:firstLine="0"/>
        <w:rPr/>
      </w:pPr>
      <w:r w:rsidDel="00000000" w:rsidR="00000000" w:rsidRPr="00000000">
        <w:rPr>
          <w:rtl w:val="0"/>
        </w:rPr>
        <w:t xml:space="preserve">Recent advancements in machine learning (ML) have opened new avenues for addressing these challenges. Machine learning models can sift through vast amounts of clinical trial data to identify patterns and predictors of attrition, offering a more sophisticated understanding of these factors. The application of ML in clinical trials has already demonstrated promise in other areas, such as patient stratification in precision medicine and automated image interpretation for various conditions (Johnson et al., 2017; Coudray et al., 2018). These applications have not only enhanced diagnostic accuracy but also optimized clinical workflows. Given the parallels to patient attrition in clinical trials, there is a compelling rationale for leveraging ML to predict attrition.</w:t>
      </w:r>
    </w:p>
    <w:p w:rsidR="00000000" w:rsidDel="00000000" w:rsidP="00000000" w:rsidRDefault="00000000" w:rsidRPr="00000000" w14:paraId="00000009">
      <w:pPr>
        <w:ind w:left="0" w:firstLine="0"/>
        <w:rPr/>
      </w:pPr>
      <w:r w:rsidDel="00000000" w:rsidR="00000000" w:rsidRPr="00000000">
        <w:rPr>
          <w:rtl w:val="0"/>
        </w:rPr>
        <w:t xml:space="preserve">In this study, we developed machine learning models trained on publicly available data from the ClinicalTrials.gov database with the aim of demonstrating the potential of ML methodologies to enhance patient retention, optimize clinical trial design, and improve the success rate of clinical trials.</w:t>
      </w:r>
      <w:r w:rsidDel="00000000" w:rsidR="00000000" w:rsidRPr="00000000">
        <w:rPr>
          <w:rtl w:val="0"/>
        </w:rPr>
      </w:r>
    </w:p>
    <w:p w:rsidR="00000000" w:rsidDel="00000000" w:rsidP="00000000" w:rsidRDefault="00000000" w:rsidRPr="00000000" w14:paraId="0000000A">
      <w:pPr>
        <w:pStyle w:val="Heading1"/>
        <w:keepNext w:val="0"/>
        <w:keepLines w:val="0"/>
        <w:spacing w:after="80" w:before="280" w:lineRule="auto"/>
        <w:rPr/>
      </w:pPr>
      <w:bookmarkStart w:colFirst="0" w:colLast="0" w:name="_oopdfehj3xi4" w:id="4"/>
      <w:bookmarkEnd w:id="4"/>
      <w:r w:rsidDel="00000000" w:rsidR="00000000" w:rsidRPr="00000000">
        <w:rPr>
          <w:rtl w:val="0"/>
        </w:rPr>
      </w:r>
    </w:p>
    <w:p w:rsidR="00000000" w:rsidDel="00000000" w:rsidP="00000000" w:rsidRDefault="00000000" w:rsidRPr="00000000" w14:paraId="0000000B">
      <w:pPr>
        <w:pStyle w:val="Heading1"/>
        <w:keepNext w:val="0"/>
        <w:keepLines w:val="0"/>
        <w:spacing w:after="80" w:before="280" w:lineRule="auto"/>
        <w:rPr>
          <w:rFonts w:ascii="Helvetica Neue" w:cs="Helvetica Neue" w:eastAsia="Helvetica Neue" w:hAnsi="Helvetica Neue"/>
        </w:rPr>
      </w:pPr>
      <w:bookmarkStart w:colFirst="0" w:colLast="0" w:name="_vlpgd1cz5xl5" w:id="5"/>
      <w:bookmarkEnd w:id="5"/>
      <w:r w:rsidDel="00000000" w:rsidR="00000000" w:rsidRPr="00000000">
        <w:rPr>
          <w:rtl w:val="0"/>
        </w:rPr>
        <w:t xml:space="preserve">Specific Aims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To understand the factors contributing to clinical trial attrition, we had two specific aims: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rFonts w:ascii="Helvetica Neue" w:cs="Helvetica Neue" w:eastAsia="Helvetica Neue" w:hAnsi="Helvetica Neue"/>
        </w:rPr>
      </w:pPr>
      <w:r w:rsidDel="00000000" w:rsidR="00000000" w:rsidRPr="00000000">
        <w:rPr>
          <w:b w:val="1"/>
          <w:bCs w:val="1"/>
          <w:rtl w:val="0"/>
        </w:rPr>
        <w:t xml:space="preserve">Aim</w:t>
      </w:r>
      <w:r w:rsidDel="00000000" w:rsidR="00000000" w:rsidRPr="00000000">
        <w:rPr>
          <w:rFonts w:ascii="Helvetica Neue" w:cs="Helvetica Neue" w:eastAsia="Helvetica Neue" w:hAnsi="Helvetica Neue"/>
          <w:b w:val="1"/>
          <w:bCs w:val="1"/>
          <w:rtl w:val="0"/>
        </w:rPr>
        <w:t xml:space="preserve"> 1</w:t>
      </w:r>
      <w:r w:rsidDel="00000000" w:rsidR="00000000" w:rsidRPr="00000000">
        <w:rPr>
          <w:rFonts w:ascii="Helvetica Neue" w:cs="Helvetica Neue" w:eastAsia="Helvetica Neue" w:hAnsi="Helvetica Neue"/>
          <w:rtl w:val="0"/>
        </w:rPr>
        <w:t xml:space="preserve">: Develop a machine learning classification model to predict patient attrition in clinical trials.</w:t>
      </w:r>
    </w:p>
    <w:p w:rsidR="00000000" w:rsidDel="00000000" w:rsidP="00000000" w:rsidRDefault="00000000" w:rsidRPr="00000000" w14:paraId="0000000F">
      <w:pPr>
        <w:ind w:left="0" w:firstLine="0"/>
        <w:rPr/>
      </w:pPr>
      <w:r w:rsidDel="00000000" w:rsidR="00000000" w:rsidRPr="00000000">
        <w:rPr>
          <w:b w:val="1"/>
          <w:bCs w:val="1"/>
          <w:rtl w:val="0"/>
        </w:rPr>
        <w:t xml:space="preserve">Aim</w:t>
      </w:r>
      <w:r w:rsidDel="00000000" w:rsidR="00000000" w:rsidRPr="00000000">
        <w:rPr>
          <w:rFonts w:ascii="Helvetica Neue" w:cs="Helvetica Neue" w:eastAsia="Helvetica Neue" w:hAnsi="Helvetica Neue"/>
          <w:b w:val="1"/>
          <w:bCs w:val="1"/>
          <w:rtl w:val="0"/>
        </w:rPr>
        <w:t xml:space="preserve"> 2</w:t>
      </w:r>
      <w:r w:rsidDel="00000000" w:rsidR="00000000" w:rsidRPr="00000000">
        <w:rPr>
          <w:rFonts w:ascii="Helvetica Neue" w:cs="Helvetica Neue" w:eastAsia="Helvetica Neue" w:hAnsi="Helvetica Neue"/>
          <w:rtl w:val="0"/>
        </w:rPr>
        <w:t xml:space="preserve">: Map the facilities of each clinical trial by zip code t</w:t>
      </w:r>
      <w:r w:rsidDel="00000000" w:rsidR="00000000" w:rsidRPr="00000000">
        <w:rPr>
          <w:rtl w:val="0"/>
        </w:rPr>
        <w:t xml:space="preserve">o understand geographic patterns in attrition.</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pStyle w:val="Heading1"/>
        <w:rPr>
          <w:rFonts w:ascii="Helvetica Neue" w:cs="Helvetica Neue" w:eastAsia="Helvetica Neue" w:hAnsi="Helvetica Neue"/>
        </w:rPr>
      </w:pPr>
      <w:bookmarkStart w:colFirst="0" w:colLast="0" w:name="_8f1xyq9q9rev" w:id="6"/>
      <w:bookmarkEnd w:id="6"/>
      <w:r w:rsidDel="00000000" w:rsidR="00000000" w:rsidRPr="00000000">
        <w:rPr>
          <w:rFonts w:ascii="Helvetica Neue" w:cs="Helvetica Neue" w:eastAsia="Helvetica Neue" w:hAnsi="Helvetica Neue"/>
          <w:rtl w:val="0"/>
        </w:rPr>
        <w:t xml:space="preserve">Methodology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i w:val="1"/>
          <w:iCs w:val="1"/>
          <w:color w:val="666666"/>
        </w:rPr>
      </w:pPr>
      <w:r w:rsidDel="00000000" w:rsidR="00000000" w:rsidRPr="00000000">
        <w:rPr>
          <w:i w:val="1"/>
          <w:iCs w:val="1"/>
          <w:color w:val="666666"/>
        </w:rPr>
        <mc:AlternateContent>
          <mc:Choice Requires="wpg">
            <w:drawing>
              <wp:inline distB="114300" distT="114300" distL="114300" distR="114300">
                <wp:extent cx="5705406" cy="2735572"/>
                <wp:effectExtent b="0" l="0" r="0" t="0"/>
                <wp:docPr id="1" name=""/>
                <a:graphic>
                  <a:graphicData uri="http://schemas.microsoft.com/office/word/2010/wordprocessingGroup">
                    <wpg:wgp>
                      <wpg:cNvGrpSpPr/>
                      <wpg:grpSpPr>
                        <a:xfrm>
                          <a:off x="684900" y="770125"/>
                          <a:ext cx="5705406" cy="2735572"/>
                          <a:chOff x="684900" y="770125"/>
                          <a:chExt cx="7172525" cy="3426500"/>
                        </a:xfrm>
                      </wpg:grpSpPr>
                      <wps:wsp>
                        <wps:cNvSpPr/>
                        <wps:cNvPr id="2" name="Shape 2"/>
                        <wps:spPr>
                          <a:xfrm>
                            <a:off x="5926625" y="2516125"/>
                            <a:ext cx="1588800" cy="1638300"/>
                          </a:xfrm>
                          <a:prstGeom prst="rect">
                            <a:avLst/>
                          </a:prstGeom>
                          <a:solidFill>
                            <a:srgbClr val="F3F3F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4175275" y="2516125"/>
                            <a:ext cx="1588800" cy="1648500"/>
                          </a:xfrm>
                          <a:prstGeom prst="rect">
                            <a:avLst/>
                          </a:prstGeom>
                          <a:solidFill>
                            <a:srgbClr val="F3F3F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5926675" y="825050"/>
                            <a:ext cx="1588800" cy="1648500"/>
                          </a:xfrm>
                          <a:prstGeom prst="rect">
                            <a:avLst/>
                          </a:prstGeom>
                          <a:solidFill>
                            <a:srgbClr val="F3F3F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4175288" y="825050"/>
                            <a:ext cx="1588800" cy="1648500"/>
                          </a:xfrm>
                          <a:prstGeom prst="rect">
                            <a:avLst/>
                          </a:prstGeom>
                          <a:solidFill>
                            <a:srgbClr val="F3F3F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2423925" y="809925"/>
                            <a:ext cx="1588800" cy="3386700"/>
                          </a:xfrm>
                          <a:prstGeom prst="rect">
                            <a:avLst/>
                          </a:prstGeom>
                          <a:solidFill>
                            <a:srgbClr val="F3F3F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684900" y="809925"/>
                            <a:ext cx="1588800" cy="3386700"/>
                          </a:xfrm>
                          <a:prstGeom prst="rect">
                            <a:avLst/>
                          </a:prstGeom>
                          <a:solidFill>
                            <a:srgbClr val="F3F3F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4225350" y="1248200"/>
                            <a:ext cx="3247500" cy="1090200"/>
                          </a:xfrm>
                          <a:prstGeom prst="roundRect">
                            <a:avLst>
                              <a:gd fmla="val 16667" name="adj"/>
                            </a:avLst>
                          </a:prstGeom>
                          <a:noFill/>
                          <a:ln cap="flat" cmpd="sng" w="19050">
                            <a:solidFill>
                              <a:srgbClr val="317AF3"/>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2506275" y="2061925"/>
                            <a:ext cx="1424100" cy="1090200"/>
                          </a:xfrm>
                          <a:prstGeom prst="roundRect">
                            <a:avLst>
                              <a:gd fmla="val 16667" name="adj"/>
                            </a:avLst>
                          </a:prstGeom>
                          <a:solidFill>
                            <a:srgbClr val="0D5CDF"/>
                          </a:solidFill>
                          <a:ln cap="flat" cmpd="sng" w="9525">
                            <a:solidFill>
                              <a:srgbClr val="0D5CD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t xml:space="preserve">Clinical Trial Dataset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r>
                              <w:r w:rsidDel="00000000" w:rsidR="00000000" w:rsidRPr="00000000">
                                <w:rPr>
                                  <w:rFonts w:ascii="Roboto" w:cs="Roboto" w:eastAsia="Roboto" w:hAnsi="Roboto"/>
                                  <w:b w:val="0"/>
                                  <w:i w:val="1"/>
                                  <w:smallCaps w:val="0"/>
                                  <w:strike w:val="0"/>
                                  <w:color w:val="ffffff"/>
                                  <w:sz w:val="18"/>
                                  <w:vertAlign w:val="baseline"/>
                                </w:rPr>
                                <w:t xml:space="preserve">(n = 1325)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1"/>
                                  <w:smallCaps w:val="0"/>
                                  <w:strike w:val="0"/>
                                  <w:color w:val="ffffff"/>
                                  <w:sz w:val="18"/>
                                  <w:vertAlign w:val="baseline"/>
                                </w:rPr>
                              </w:r>
                              <w:r w:rsidDel="00000000" w:rsidR="00000000" w:rsidRPr="00000000">
                                <w:rPr>
                                  <w:rFonts w:ascii="Roboto" w:cs="Roboto" w:eastAsia="Roboto" w:hAnsi="Roboto"/>
                                  <w:b w:val="0"/>
                                  <w:i w:val="0"/>
                                  <w:smallCaps w:val="0"/>
                                  <w:strike w:val="0"/>
                                  <w:color w:val="ffffff"/>
                                  <w:sz w:val="16"/>
                                  <w:vertAlign w:val="baseline"/>
                                </w:rPr>
                                <w:t xml:space="preserve">NCT ID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ffffff"/>
                                  <w:sz w:val="16"/>
                                  <w:vertAlign w:val="baseline"/>
                                </w:rPr>
                              </w:r>
                              <w:r w:rsidDel="00000000" w:rsidR="00000000" w:rsidRPr="00000000">
                                <w:rPr>
                                  <w:rFonts w:ascii="Roboto" w:cs="Roboto" w:eastAsia="Roboto" w:hAnsi="Roboto"/>
                                  <w:b w:val="0"/>
                                  <w:i w:val="0"/>
                                  <w:smallCaps w:val="0"/>
                                  <w:strike w:val="0"/>
                                  <w:color w:val="ffffff"/>
                                  <w:sz w:val="16"/>
                                  <w:vertAlign w:val="baseline"/>
                                </w:rPr>
                                <w:t xml:space="preserve">Features </w:t>
                              </w:r>
                              <w:r w:rsidDel="00000000" w:rsidR="00000000" w:rsidRPr="00000000">
                                <w:rPr>
                                  <w:rFonts w:ascii="Roboto" w:cs="Roboto" w:eastAsia="Roboto" w:hAnsi="Roboto"/>
                                  <w:b w:val="0"/>
                                  <w:i w:val="1"/>
                                  <w:smallCaps w:val="0"/>
                                  <w:strike w:val="0"/>
                                  <w:color w:val="ffffff"/>
                                  <w:sz w:val="16"/>
                                  <w:vertAlign w:val="baseline"/>
                                </w:rPr>
                                <w:t xml:space="preserve">(un-encoded)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1"/>
                                  <w:smallCaps w:val="0"/>
                                  <w:strike w:val="0"/>
                                  <w:color w:val="ffffff"/>
                                  <w:sz w:val="16"/>
                                  <w:vertAlign w:val="baseline"/>
                                </w:rPr>
                              </w:r>
                              <w:r w:rsidDel="00000000" w:rsidR="00000000" w:rsidRPr="00000000">
                                <w:rPr>
                                  <w:rFonts w:ascii="Roboto" w:cs="Roboto" w:eastAsia="Roboto" w:hAnsi="Roboto"/>
                                  <w:b w:val="0"/>
                                  <w:i w:val="0"/>
                                  <w:smallCaps w:val="0"/>
                                  <w:strike w:val="0"/>
                                  <w:color w:val="ffffff"/>
                                  <w:sz w:val="16"/>
                                  <w:vertAlign w:val="baseline"/>
                                </w:rPr>
                                <w:t xml:space="preserve">Attrition Rate</w:t>
                              </w:r>
                            </w:p>
                          </w:txbxContent>
                        </wps:txbx>
                        <wps:bodyPr anchorCtr="0" anchor="ctr" bIns="91425" lIns="91425" spcFirstLastPara="1" rIns="91425" wrap="square" tIns="91425">
                          <a:noAutofit/>
                        </wps:bodyPr>
                      </wps:wsp>
                      <wps:wsp>
                        <wps:cNvSpPr/>
                        <wps:cNvPr id="10" name="Shape 10"/>
                        <wps:spPr>
                          <a:xfrm>
                            <a:off x="4366950" y="1352125"/>
                            <a:ext cx="1180800" cy="319800"/>
                          </a:xfrm>
                          <a:prstGeom prst="roundRect">
                            <a:avLst>
                              <a:gd fmla="val 16667" name="adj"/>
                            </a:avLst>
                          </a:prstGeom>
                          <a:solidFill>
                            <a:srgbClr val="307AF3"/>
                          </a:solidFill>
                          <a:ln cap="flat" cmpd="sng" w="9525">
                            <a:solidFill>
                              <a:srgbClr val="307A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t xml:space="preserve">Encoded Features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r>
                              <w:r w:rsidDel="00000000" w:rsidR="00000000" w:rsidRPr="00000000">
                                <w:rPr>
                                  <w:rFonts w:ascii="Roboto" w:cs="Roboto" w:eastAsia="Roboto" w:hAnsi="Roboto"/>
                                  <w:b w:val="1"/>
                                  <w:i w:val="1"/>
                                  <w:smallCaps w:val="0"/>
                                  <w:strike w:val="0"/>
                                  <w:color w:val="ffffff"/>
                                  <w:sz w:val="16"/>
                                  <w:vertAlign w:val="baseline"/>
                                </w:rPr>
                                <w:t xml:space="preserve">(</w:t>
                              </w:r>
                              <w:r w:rsidDel="00000000" w:rsidR="00000000" w:rsidRPr="00000000">
                                <w:rPr>
                                  <w:rFonts w:ascii="Roboto" w:cs="Roboto" w:eastAsia="Roboto" w:hAnsi="Roboto"/>
                                  <w:b w:val="0"/>
                                  <w:i w:val="1"/>
                                  <w:smallCaps w:val="0"/>
                                  <w:strike w:val="0"/>
                                  <w:color w:val="ffffff"/>
                                  <w:sz w:val="16"/>
                                  <w:vertAlign w:val="baseline"/>
                                </w:rPr>
                                <w:t xml:space="preserve">n = 1325)</w:t>
                              </w:r>
                            </w:p>
                          </w:txbxContent>
                        </wps:txbx>
                        <wps:bodyPr anchorCtr="0" anchor="ctr" bIns="91425" lIns="91425" spcFirstLastPara="1" rIns="91425" wrap="square" tIns="91425">
                          <a:noAutofit/>
                        </wps:bodyPr>
                      </wps:wsp>
                      <wps:wsp>
                        <wps:cNvSpPr txBox="1"/>
                        <wps:cNvPr id="11" name="Shape 11"/>
                        <wps:spPr>
                          <a:xfrm>
                            <a:off x="747300" y="770125"/>
                            <a:ext cx="1464000" cy="31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00000"/>
                                  <w:sz w:val="22"/>
                                  <w:vertAlign w:val="baseline"/>
                                </w:rPr>
                                <w:t xml:space="preserve">Data Extraction</w:t>
                              </w:r>
                            </w:p>
                          </w:txbxContent>
                        </wps:txbx>
                        <wps:bodyPr anchorCtr="0" anchor="t" bIns="91425" lIns="91425" spcFirstLastPara="1" rIns="91425" wrap="square" tIns="91425">
                          <a:noAutofit/>
                        </wps:bodyPr>
                      </wps:wsp>
                      <wps:wsp>
                        <wps:cNvSpPr/>
                        <wps:cNvPr id="12" name="Shape 12"/>
                        <wps:spPr>
                          <a:xfrm>
                            <a:off x="888900" y="1413175"/>
                            <a:ext cx="1180800" cy="706200"/>
                          </a:xfrm>
                          <a:prstGeom prst="roundRect">
                            <a:avLst>
                              <a:gd fmla="val 16667" name="adj"/>
                            </a:avLst>
                          </a:prstGeom>
                          <a:solidFill>
                            <a:srgbClr val="0942A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t xml:space="preserve">Attrition Dataset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r>
                              <w:r w:rsidDel="00000000" w:rsidR="00000000" w:rsidRPr="00000000">
                                <w:rPr>
                                  <w:rFonts w:ascii="Roboto" w:cs="Roboto" w:eastAsia="Roboto" w:hAnsi="Roboto"/>
                                  <w:b w:val="0"/>
                                  <w:i w:val="0"/>
                                  <w:smallCaps w:val="0"/>
                                  <w:strike w:val="0"/>
                                  <w:color w:val="ffffff"/>
                                  <w:sz w:val="16"/>
                                  <w:vertAlign w:val="baseline"/>
                                </w:rPr>
                                <w:t xml:space="preserve">NCT ID</w:t>
                              </w:r>
                              <w:r w:rsidDel="00000000" w:rsidR="00000000" w:rsidRPr="00000000">
                                <w:rPr>
                                  <w:rFonts w:ascii="Roboto" w:cs="Roboto" w:eastAsia="Roboto" w:hAnsi="Roboto"/>
                                  <w:b w:val="0"/>
                                  <w:i w:val="0"/>
                                  <w:smallCaps w:val="0"/>
                                  <w:strike w:val="0"/>
                                  <w:color w:val="ffffff"/>
                                  <w:sz w:val="16"/>
                                  <w:vertAlign w:val="baseline"/>
                                </w:rPr>
                                <w:br w:type="textWrapping"/>
                              </w:r>
                              <w:r w:rsidDel="00000000" w:rsidR="00000000" w:rsidRPr="00000000">
                                <w:rPr>
                                  <w:rFonts w:ascii="Roboto" w:cs="Roboto" w:eastAsia="Roboto" w:hAnsi="Roboto"/>
                                  <w:b w:val="0"/>
                                  <w:i w:val="0"/>
                                  <w:smallCaps w:val="0"/>
                                  <w:strike w:val="0"/>
                                  <w:color w:val="ffffff"/>
                                  <w:sz w:val="16"/>
                                  <w:vertAlign w:val="baseline"/>
                                </w:rPr>
                                <w:t xml:space="preserve">Attrition Rate</w:t>
                              </w:r>
                            </w:p>
                          </w:txbxContent>
                        </wps:txbx>
                        <wps:bodyPr anchorCtr="0" anchor="ctr" bIns="91425" lIns="91425" spcFirstLastPara="1" rIns="91425" wrap="square" tIns="91425">
                          <a:noAutofit/>
                        </wps:bodyPr>
                      </wps:wsp>
                      <wps:wsp>
                        <wps:cNvSpPr/>
                        <wps:cNvPr id="13" name="Shape 13"/>
                        <wps:spPr>
                          <a:xfrm>
                            <a:off x="888900" y="2253925"/>
                            <a:ext cx="1180800" cy="706200"/>
                          </a:xfrm>
                          <a:prstGeom prst="roundRect">
                            <a:avLst>
                              <a:gd fmla="val 16667" name="adj"/>
                            </a:avLst>
                          </a:prstGeom>
                          <a:solidFill>
                            <a:srgbClr val="0942A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t xml:space="preserve">ClinicalTrial.gov API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r>
                              <w:r w:rsidDel="00000000" w:rsidR="00000000" w:rsidRPr="00000000">
                                <w:rPr>
                                  <w:rFonts w:ascii="Roboto" w:cs="Roboto" w:eastAsia="Roboto" w:hAnsi="Roboto"/>
                                  <w:b w:val="0"/>
                                  <w:i w:val="0"/>
                                  <w:smallCaps w:val="0"/>
                                  <w:strike w:val="0"/>
                                  <w:color w:val="ffffff"/>
                                  <w:sz w:val="16"/>
                                  <w:vertAlign w:val="baseline"/>
                                </w:rPr>
                                <w:t xml:space="preserve">Feature Data</w:t>
                              </w:r>
                            </w:p>
                          </w:txbxContent>
                        </wps:txbx>
                        <wps:bodyPr anchorCtr="0" anchor="ctr" bIns="91425" lIns="91425" spcFirstLastPara="1" rIns="91425" wrap="square" tIns="91425">
                          <a:noAutofit/>
                        </wps:bodyPr>
                      </wps:wsp>
                      <wps:wsp>
                        <wps:cNvSpPr/>
                        <wps:cNvPr id="14" name="Shape 14"/>
                        <wps:spPr>
                          <a:xfrm>
                            <a:off x="888900" y="3094675"/>
                            <a:ext cx="1180800" cy="706200"/>
                          </a:xfrm>
                          <a:prstGeom prst="roundRect">
                            <a:avLst>
                              <a:gd fmla="val 16667" name="adj"/>
                            </a:avLst>
                          </a:prstGeom>
                          <a:solidFill>
                            <a:srgbClr val="0942A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t xml:space="preserve">RUCA Dataset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r>
                              <w:r w:rsidDel="00000000" w:rsidR="00000000" w:rsidRPr="00000000">
                                <w:rPr>
                                  <w:rFonts w:ascii="Roboto" w:cs="Roboto" w:eastAsia="Roboto" w:hAnsi="Roboto"/>
                                  <w:b w:val="0"/>
                                  <w:i w:val="0"/>
                                  <w:smallCaps w:val="0"/>
                                  <w:strike w:val="0"/>
                                  <w:color w:val="ffffff"/>
                                  <w:sz w:val="16"/>
                                  <w:vertAlign w:val="baseline"/>
                                </w:rPr>
                                <w:t xml:space="preserve">Geo Categories</w:t>
                              </w:r>
                            </w:p>
                          </w:txbxContent>
                        </wps:txbx>
                        <wps:bodyPr anchorCtr="0" anchor="ctr" bIns="91425" lIns="91425" spcFirstLastPara="1" rIns="91425" wrap="square" tIns="91425">
                          <a:noAutofit/>
                        </wps:bodyPr>
                      </wps:wsp>
                      <wps:wsp>
                        <wps:cNvSpPr txBox="1"/>
                        <wps:cNvPr id="15" name="Shape 15"/>
                        <wps:spPr>
                          <a:xfrm>
                            <a:off x="2525400" y="770125"/>
                            <a:ext cx="1464000" cy="31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00000"/>
                                  <w:sz w:val="22"/>
                                  <w:vertAlign w:val="baseline"/>
                                </w:rPr>
                                <w:t xml:space="preserve">Data Integration &amp; Pre-processing</w:t>
                              </w:r>
                            </w:p>
                          </w:txbxContent>
                        </wps:txbx>
                        <wps:bodyPr anchorCtr="0" anchor="t" bIns="91425" lIns="91425" spcFirstLastPara="1" rIns="91425" wrap="square" tIns="91425">
                          <a:noAutofit/>
                        </wps:bodyPr>
                      </wps:wsp>
                      <wps:wsp>
                        <wps:cNvSpPr txBox="1"/>
                        <wps:cNvPr id="16" name="Shape 16"/>
                        <wps:spPr>
                          <a:xfrm>
                            <a:off x="4267200" y="770125"/>
                            <a:ext cx="1464000" cy="31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00000"/>
                                  <w:sz w:val="22"/>
                                  <w:vertAlign w:val="baseline"/>
                                </w:rPr>
                                <w:t xml:space="preserve">Feature Engineering</w:t>
                              </w:r>
                            </w:p>
                          </w:txbxContent>
                        </wps:txbx>
                        <wps:bodyPr anchorCtr="0" anchor="t" bIns="91425" lIns="91425" spcFirstLastPara="1" rIns="91425" wrap="square" tIns="91425">
                          <a:noAutofit/>
                        </wps:bodyPr>
                      </wps:wsp>
                      <wps:wsp>
                        <wps:cNvSpPr txBox="1"/>
                        <wps:cNvPr id="17" name="Shape 17"/>
                        <wps:spPr>
                          <a:xfrm>
                            <a:off x="5985675" y="785250"/>
                            <a:ext cx="1464000" cy="26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00000"/>
                                  <w:sz w:val="22"/>
                                  <w:vertAlign w:val="baseline"/>
                                </w:rPr>
                                <w:t xml:space="preserve">Model Training &amp;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00000"/>
                                  <w:sz w:val="22"/>
                                  <w:vertAlign w:val="baseline"/>
                                </w:rPr>
                              </w:r>
                              <w:r w:rsidDel="00000000" w:rsidR="00000000" w:rsidRPr="00000000">
                                <w:rPr>
                                  <w:rFonts w:ascii="Roboto" w:cs="Roboto" w:eastAsia="Roboto" w:hAnsi="Roboto"/>
                                  <w:b w:val="1"/>
                                  <w:i w:val="0"/>
                                  <w:smallCaps w:val="0"/>
                                  <w:strike w:val="0"/>
                                  <w:color w:val="000000"/>
                                  <w:sz w:val="22"/>
                                  <w:vertAlign w:val="baseline"/>
                                </w:rPr>
                                <w:t xml:space="preserve">Evaluation</w:t>
                              </w:r>
                            </w:p>
                          </w:txbxContent>
                        </wps:txbx>
                        <wps:bodyPr anchorCtr="0" anchor="t" bIns="91425" lIns="91425" spcFirstLastPara="1" rIns="91425" wrap="square" tIns="91425">
                          <a:noAutofit/>
                        </wps:bodyPr>
                      </wps:wsp>
                      <wps:wsp>
                        <wps:cNvSpPr txBox="1"/>
                        <wps:cNvPr id="18" name="Shape 18"/>
                        <wps:spPr>
                          <a:xfrm>
                            <a:off x="4249175" y="2429263"/>
                            <a:ext cx="1464000" cy="31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00000"/>
                                  <w:sz w:val="22"/>
                                  <w:vertAlign w:val="baseline"/>
                                </w:rPr>
                                <w:t xml:space="preserve">Geocoding</w:t>
                              </w:r>
                            </w:p>
                          </w:txbxContent>
                        </wps:txbx>
                        <wps:bodyPr anchorCtr="0" anchor="t" bIns="91425" lIns="91425" spcFirstLastPara="1" rIns="91425" wrap="square" tIns="91425">
                          <a:noAutofit/>
                        </wps:bodyPr>
                      </wps:wsp>
                      <wps:wsp>
                        <wps:cNvSpPr/>
                        <wps:cNvPr id="19" name="Shape 19"/>
                        <wps:spPr>
                          <a:xfrm>
                            <a:off x="6150600" y="1352125"/>
                            <a:ext cx="1180800" cy="319800"/>
                          </a:xfrm>
                          <a:prstGeom prst="roundRect">
                            <a:avLst>
                              <a:gd fmla="val 16667" name="adj"/>
                            </a:avLst>
                          </a:prstGeom>
                          <a:solidFill>
                            <a:srgbClr val="307AF3"/>
                          </a:solidFill>
                          <a:ln cap="flat" cmpd="sng" w="9525">
                            <a:solidFill>
                              <a:srgbClr val="307A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t xml:space="preserve">Training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r>
                              <w:r w:rsidDel="00000000" w:rsidR="00000000" w:rsidRPr="00000000">
                                <w:rPr>
                                  <w:rFonts w:ascii="Roboto" w:cs="Roboto" w:eastAsia="Roboto" w:hAnsi="Roboto"/>
                                  <w:b w:val="1"/>
                                  <w:i w:val="0"/>
                                  <w:smallCaps w:val="0"/>
                                  <w:strike w:val="0"/>
                                  <w:color w:val="ffffff"/>
                                  <w:sz w:val="16"/>
                                  <w:vertAlign w:val="baseline"/>
                                </w:rPr>
                                <w:t xml:space="preserve">(</w:t>
                              </w:r>
                              <w:r w:rsidDel="00000000" w:rsidR="00000000" w:rsidRPr="00000000">
                                <w:rPr>
                                  <w:rFonts w:ascii="Roboto" w:cs="Roboto" w:eastAsia="Roboto" w:hAnsi="Roboto"/>
                                  <w:b w:val="0"/>
                                  <w:i w:val="0"/>
                                  <w:smallCaps w:val="0"/>
                                  <w:strike w:val="0"/>
                                  <w:color w:val="ffffff"/>
                                  <w:sz w:val="16"/>
                                  <w:vertAlign w:val="baseline"/>
                                </w:rPr>
                                <w:t xml:space="preserve">80%)</w:t>
                              </w:r>
                            </w:p>
                          </w:txbxContent>
                        </wps:txbx>
                        <wps:bodyPr anchorCtr="0" anchor="ctr" bIns="91425" lIns="91425" spcFirstLastPara="1" rIns="91425" wrap="square" tIns="91425">
                          <a:noAutofit/>
                        </wps:bodyPr>
                      </wps:wsp>
                      <wps:wsp>
                        <wps:cNvSpPr txBox="1"/>
                        <wps:cNvPr id="20" name="Shape 20"/>
                        <wps:spPr>
                          <a:xfrm>
                            <a:off x="5949625" y="2429263"/>
                            <a:ext cx="1464000" cy="31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00000"/>
                                  <w:sz w:val="22"/>
                                  <w:vertAlign w:val="baseline"/>
                                </w:rPr>
                                <w:t xml:space="preserve">Attrition Mapping</w:t>
                              </w:r>
                            </w:p>
                          </w:txbxContent>
                        </wps:txbx>
                        <wps:bodyPr anchorCtr="0" anchor="t" bIns="91425" lIns="91425" spcFirstLastPara="1" rIns="91425" wrap="square" tIns="91425">
                          <a:noAutofit/>
                        </wps:bodyPr>
                      </wps:wsp>
                      <wps:wsp>
                        <wps:cNvSpPr txBox="1"/>
                        <wps:cNvPr id="21" name="Shape 21"/>
                        <wps:spPr>
                          <a:xfrm rot="5400000">
                            <a:off x="7325525" y="1489388"/>
                            <a:ext cx="744000" cy="31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07af3"/>
                                  <w:sz w:val="22"/>
                                  <w:vertAlign w:val="baseline"/>
                                </w:rPr>
                                <w:t xml:space="preserve">Aim 1</w:t>
                              </w:r>
                            </w:p>
                          </w:txbxContent>
                        </wps:txbx>
                        <wps:bodyPr anchorCtr="0" anchor="t" bIns="91425" lIns="91425" spcFirstLastPara="1" rIns="91425" wrap="square" tIns="91425">
                          <a:noAutofit/>
                        </wps:bodyPr>
                      </wps:wsp>
                      <wps:wsp>
                        <wps:cNvSpPr txBox="1"/>
                        <wps:cNvPr id="22" name="Shape 22"/>
                        <wps:spPr>
                          <a:xfrm rot="5400000">
                            <a:off x="7325525" y="3287863"/>
                            <a:ext cx="744000" cy="31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07af3"/>
                                  <w:sz w:val="22"/>
                                  <w:vertAlign w:val="baseline"/>
                                </w:rPr>
                                <w:t xml:space="preserve">Aim 2</w:t>
                              </w:r>
                            </w:p>
                          </w:txbxContent>
                        </wps:txbx>
                        <wps:bodyPr anchorCtr="0" anchor="t" bIns="91425" lIns="91425" spcFirstLastPara="1" rIns="91425" wrap="square" tIns="91425">
                          <a:noAutofit/>
                        </wps:bodyPr>
                      </wps:wsp>
                      <wps:wsp>
                        <wps:cNvSpPr/>
                        <wps:cNvPr id="23" name="Shape 23"/>
                        <wps:spPr>
                          <a:xfrm>
                            <a:off x="4379300" y="1934113"/>
                            <a:ext cx="1180800" cy="319800"/>
                          </a:xfrm>
                          <a:prstGeom prst="roundRect">
                            <a:avLst>
                              <a:gd fmla="val 16667" name="adj"/>
                            </a:avLst>
                          </a:prstGeom>
                          <a:solidFill>
                            <a:srgbClr val="307AF3"/>
                          </a:solidFill>
                          <a:ln cap="flat" cmpd="sng" w="9525">
                            <a:solidFill>
                              <a:srgbClr val="307A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t xml:space="preserve">Encoded Outcome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r>
                              <w:r w:rsidDel="00000000" w:rsidR="00000000" w:rsidRPr="00000000">
                                <w:rPr>
                                  <w:rFonts w:ascii="Roboto" w:cs="Roboto" w:eastAsia="Roboto" w:hAnsi="Roboto"/>
                                  <w:b w:val="1"/>
                                  <w:i w:val="1"/>
                                  <w:smallCaps w:val="0"/>
                                  <w:strike w:val="0"/>
                                  <w:color w:val="ffffff"/>
                                  <w:sz w:val="16"/>
                                  <w:vertAlign w:val="baseline"/>
                                </w:rPr>
                                <w:t xml:space="preserve">(</w:t>
                              </w:r>
                              <w:r w:rsidDel="00000000" w:rsidR="00000000" w:rsidRPr="00000000">
                                <w:rPr>
                                  <w:rFonts w:ascii="Roboto" w:cs="Roboto" w:eastAsia="Roboto" w:hAnsi="Roboto"/>
                                  <w:b w:val="0"/>
                                  <w:i w:val="1"/>
                                  <w:smallCaps w:val="0"/>
                                  <w:strike w:val="0"/>
                                  <w:color w:val="ffffff"/>
                                  <w:sz w:val="16"/>
                                  <w:vertAlign w:val="baseline"/>
                                </w:rPr>
                                <w:t xml:space="preserve">n = 1325)</w:t>
                              </w:r>
                            </w:p>
                          </w:txbxContent>
                        </wps:txbx>
                        <wps:bodyPr anchorCtr="0" anchor="ctr" bIns="91425" lIns="91425" spcFirstLastPara="1" rIns="91425" wrap="square" tIns="91425">
                          <a:noAutofit/>
                        </wps:bodyPr>
                      </wps:wsp>
                      <wps:wsp>
                        <wps:cNvCnPr/>
                        <wps:spPr>
                          <a:xfrm>
                            <a:off x="2069700" y="2607025"/>
                            <a:ext cx="436500" cy="0"/>
                          </a:xfrm>
                          <a:prstGeom prst="straightConnector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069700" y="1766275"/>
                            <a:ext cx="600" cy="1681500"/>
                          </a:xfrm>
                          <a:prstGeom prst="bentConnector3">
                            <a:avLst>
                              <a:gd fmla="val 39687500" name="adj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367000" y="1512013"/>
                            <a:ext cx="12300" cy="582000"/>
                          </a:xfrm>
                          <a:prstGeom prst="bentConnector3">
                            <a:avLst>
                              <a:gd fmla="val 693089" name="adj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CnPr/>
                        <wps:spPr>
                          <a:xfrm>
                            <a:off x="5547750" y="1512025"/>
                            <a:ext cx="12300" cy="582000"/>
                          </a:xfrm>
                          <a:prstGeom prst="bentConnector3">
                            <a:avLst>
                              <a:gd fmla="val 915447" name="adj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3930375" y="1793300"/>
                            <a:ext cx="369975" cy="813725"/>
                            <a:chOff x="3930375" y="1793300"/>
                            <a:chExt cx="369975" cy="813725"/>
                          </a:xfrm>
                        </wpg:grpSpPr>
                        <wps:wsp>
                          <wps:cNvCnPr/>
                          <wps:spPr>
                            <a:xfrm flipH="1" rot="10800000">
                              <a:off x="3930375" y="1793425"/>
                              <a:ext cx="294900" cy="813600"/>
                            </a:xfrm>
                            <a:prstGeom prst="bentConnector3">
                              <a:avLst>
                                <a:gd fmla="val 50013" name="adj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CnPr/>
                          <wps:spPr>
                            <a:xfrm>
                              <a:off x="4225350" y="1793300"/>
                              <a:ext cx="75000" cy="0"/>
                            </a:xfrm>
                            <a:prstGeom prst="straightConnector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g:grpSp>
                      <wps:wsp>
                        <wps:cNvCnPr/>
                        <wps:spPr>
                          <a:xfrm flipH="1">
                            <a:off x="5654050" y="1774550"/>
                            <a:ext cx="371400" cy="2100"/>
                          </a:xfrm>
                          <a:prstGeom prst="straightConnector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SpPr/>
                        <wps:cNvPr id="32" name="Shape 32"/>
                        <wps:spPr>
                          <a:xfrm>
                            <a:off x="6130675" y="1912500"/>
                            <a:ext cx="1180800" cy="319800"/>
                          </a:xfrm>
                          <a:prstGeom prst="roundRect">
                            <a:avLst>
                              <a:gd fmla="val 16667" name="adj"/>
                            </a:avLst>
                          </a:prstGeom>
                          <a:solidFill>
                            <a:srgbClr val="307AF3"/>
                          </a:solidFill>
                          <a:ln cap="flat" cmpd="sng" w="9525">
                            <a:solidFill>
                              <a:srgbClr val="307A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t xml:space="preserve">Evaluation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r>
                              <w:r w:rsidDel="00000000" w:rsidR="00000000" w:rsidRPr="00000000">
                                <w:rPr>
                                  <w:rFonts w:ascii="Roboto" w:cs="Roboto" w:eastAsia="Roboto" w:hAnsi="Roboto"/>
                                  <w:b w:val="1"/>
                                  <w:i w:val="0"/>
                                  <w:smallCaps w:val="0"/>
                                  <w:strike w:val="0"/>
                                  <w:color w:val="ffffff"/>
                                  <w:sz w:val="16"/>
                                  <w:vertAlign w:val="baseline"/>
                                </w:rPr>
                                <w:t xml:space="preserve">(</w:t>
                              </w:r>
                              <w:r w:rsidDel="00000000" w:rsidR="00000000" w:rsidRPr="00000000">
                                <w:rPr>
                                  <w:rFonts w:ascii="Roboto" w:cs="Roboto" w:eastAsia="Roboto" w:hAnsi="Roboto"/>
                                  <w:b w:val="0"/>
                                  <w:i w:val="0"/>
                                  <w:smallCaps w:val="0"/>
                                  <w:strike w:val="0"/>
                                  <w:color w:val="ffffff"/>
                                  <w:sz w:val="16"/>
                                  <w:vertAlign w:val="baseline"/>
                                </w:rPr>
                                <w:t xml:space="preserve">20%)</w:t>
                              </w:r>
                            </w:p>
                          </w:txbxContent>
                        </wps:txbx>
                        <wps:bodyPr anchorCtr="0" anchor="ctr" bIns="91425" lIns="91425" spcFirstLastPara="1" rIns="91425" wrap="square" tIns="91425">
                          <a:noAutofit/>
                        </wps:bodyPr>
                      </wps:wsp>
                      <wps:wsp>
                        <wps:cNvCnPr/>
                        <wps:spPr>
                          <a:xfrm flipH="1">
                            <a:off x="6130800" y="1512025"/>
                            <a:ext cx="19800" cy="560400"/>
                          </a:xfrm>
                          <a:prstGeom prst="bentConnector3">
                            <a:avLst>
                              <a:gd fmla="val 622727" name="adj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SpPr/>
                        <wps:cNvPr id="34" name="Shape 34"/>
                        <wps:spPr>
                          <a:xfrm>
                            <a:off x="6650600" y="1707725"/>
                            <a:ext cx="117900" cy="166200"/>
                          </a:xfrm>
                          <a:prstGeom prst="downArrow">
                            <a:avLst>
                              <a:gd fmla="val 50000" name="adj1"/>
                              <a:gd fmla="val 50000" name="adj2"/>
                            </a:avLst>
                          </a:prstGeom>
                          <a:solidFill>
                            <a:srgbClr val="317AF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 name="Shape 35"/>
                        <wps:spPr>
                          <a:xfrm>
                            <a:off x="4220963" y="2857175"/>
                            <a:ext cx="3247500" cy="1090200"/>
                          </a:xfrm>
                          <a:prstGeom prst="roundRect">
                            <a:avLst>
                              <a:gd fmla="val 16667" name="adj"/>
                            </a:avLst>
                          </a:prstGeom>
                          <a:noFill/>
                          <a:ln cap="flat" cmpd="sng" w="19050">
                            <a:solidFill>
                              <a:srgbClr val="317AF3"/>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 name="Shape 36"/>
                        <wps:spPr>
                          <a:xfrm>
                            <a:off x="4354625" y="2961100"/>
                            <a:ext cx="1326900" cy="319800"/>
                          </a:xfrm>
                          <a:prstGeom prst="roundRect">
                            <a:avLst>
                              <a:gd fmla="val 16667" name="adj"/>
                            </a:avLst>
                          </a:prstGeom>
                          <a:solidFill>
                            <a:srgbClr val="307AF3"/>
                          </a:solidFill>
                          <a:ln cap="flat" cmpd="sng" w="9525">
                            <a:solidFill>
                              <a:srgbClr val="307A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7"/>
                                  <w:vertAlign w:val="baseline"/>
                                </w:rPr>
                                <w:t xml:space="preserve">Low Attrition Dataset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7"/>
                                  <w:vertAlign w:val="baseline"/>
                                </w:rPr>
                              </w:r>
                              <w:r w:rsidDel="00000000" w:rsidR="00000000" w:rsidRPr="00000000">
                                <w:rPr>
                                  <w:rFonts w:ascii="Roboto" w:cs="Roboto" w:eastAsia="Roboto" w:hAnsi="Roboto"/>
                                  <w:b w:val="1"/>
                                  <w:i w:val="1"/>
                                  <w:smallCaps w:val="0"/>
                                  <w:strike w:val="0"/>
                                  <w:color w:val="ffffff"/>
                                  <w:sz w:val="16"/>
                                  <w:vertAlign w:val="baseline"/>
                                </w:rPr>
                                <w:t xml:space="preserve">(</w:t>
                              </w:r>
                              <w:r w:rsidDel="00000000" w:rsidR="00000000" w:rsidRPr="00000000">
                                <w:rPr>
                                  <w:rFonts w:ascii="Roboto" w:cs="Roboto" w:eastAsia="Roboto" w:hAnsi="Roboto"/>
                                  <w:b w:val="0"/>
                                  <w:i w:val="1"/>
                                  <w:smallCaps w:val="0"/>
                                  <w:strike w:val="0"/>
                                  <w:color w:val="ffffff"/>
                                  <w:sz w:val="16"/>
                                  <w:vertAlign w:val="baseline"/>
                                </w:rPr>
                                <w:t xml:space="preserve">n = 495)</w:t>
                              </w:r>
                            </w:p>
                          </w:txbxContent>
                        </wps:txbx>
                        <wps:bodyPr anchorCtr="0" anchor="ctr" bIns="91425" lIns="91425" spcFirstLastPara="1" rIns="91425" wrap="square" tIns="91425">
                          <a:noAutofit/>
                        </wps:bodyPr>
                      </wps:wsp>
                      <wps:wsp>
                        <wps:cNvSpPr/>
                        <wps:cNvPr id="37" name="Shape 37"/>
                        <wps:spPr>
                          <a:xfrm>
                            <a:off x="6146213" y="2961100"/>
                            <a:ext cx="1180800" cy="319800"/>
                          </a:xfrm>
                          <a:prstGeom prst="roundRect">
                            <a:avLst>
                              <a:gd fmla="val 16667" name="adj"/>
                            </a:avLst>
                          </a:prstGeom>
                          <a:solidFill>
                            <a:srgbClr val="307AF3"/>
                          </a:solidFill>
                          <a:ln cap="flat" cmpd="sng" w="9525">
                            <a:solidFill>
                              <a:srgbClr val="307A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t xml:space="preserve">Low Attrition Map</w:t>
                              </w:r>
                            </w:p>
                          </w:txbxContent>
                        </wps:txbx>
                        <wps:bodyPr anchorCtr="0" anchor="ctr" bIns="91425" lIns="91425" spcFirstLastPara="1" rIns="91425" wrap="square" tIns="91425">
                          <a:noAutofit/>
                        </wps:bodyPr>
                      </wps:wsp>
                      <wps:wsp>
                        <wps:cNvSpPr/>
                        <wps:cNvPr id="38" name="Shape 38"/>
                        <wps:spPr>
                          <a:xfrm>
                            <a:off x="4354626" y="3542775"/>
                            <a:ext cx="1326900" cy="319800"/>
                          </a:xfrm>
                          <a:prstGeom prst="roundRect">
                            <a:avLst>
                              <a:gd fmla="val 16667" name="adj"/>
                            </a:avLst>
                          </a:prstGeom>
                          <a:solidFill>
                            <a:srgbClr val="307AF3"/>
                          </a:solidFill>
                          <a:ln cap="flat" cmpd="sng" w="9525">
                            <a:solidFill>
                              <a:srgbClr val="307A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7"/>
                                  <w:vertAlign w:val="baseline"/>
                                </w:rPr>
                                <w:t xml:space="preserve">High Attrition Dataset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7"/>
                                  <w:vertAlign w:val="baseline"/>
                                </w:rPr>
                              </w:r>
                              <w:r w:rsidDel="00000000" w:rsidR="00000000" w:rsidRPr="00000000">
                                <w:rPr>
                                  <w:rFonts w:ascii="Roboto" w:cs="Roboto" w:eastAsia="Roboto" w:hAnsi="Roboto"/>
                                  <w:b w:val="1"/>
                                  <w:i w:val="1"/>
                                  <w:smallCaps w:val="0"/>
                                  <w:strike w:val="0"/>
                                  <w:color w:val="ffffff"/>
                                  <w:sz w:val="16"/>
                                  <w:vertAlign w:val="baseline"/>
                                </w:rPr>
                                <w:t xml:space="preserve">(</w:t>
                              </w:r>
                              <w:r w:rsidDel="00000000" w:rsidR="00000000" w:rsidRPr="00000000">
                                <w:rPr>
                                  <w:rFonts w:ascii="Roboto" w:cs="Roboto" w:eastAsia="Roboto" w:hAnsi="Roboto"/>
                                  <w:b w:val="0"/>
                                  <w:i w:val="1"/>
                                  <w:smallCaps w:val="0"/>
                                  <w:strike w:val="0"/>
                                  <w:color w:val="ffffff"/>
                                  <w:sz w:val="16"/>
                                  <w:vertAlign w:val="baseline"/>
                                </w:rPr>
                                <w:t xml:space="preserve">n = 285)</w:t>
                              </w:r>
                            </w:p>
                          </w:txbxContent>
                        </wps:txbx>
                        <wps:bodyPr anchorCtr="0" anchor="ctr" bIns="91425" lIns="91425" spcFirstLastPara="1" rIns="91425" wrap="square" tIns="91425">
                          <a:noAutofit/>
                        </wps:bodyPr>
                      </wps:wsp>
                      <wps:wsp>
                        <wps:cNvCnPr/>
                        <wps:spPr>
                          <a:xfrm flipH="1" rot="10800000">
                            <a:off x="4354626" y="3120975"/>
                            <a:ext cx="600" cy="581700"/>
                          </a:xfrm>
                          <a:prstGeom prst="bentConnector3">
                            <a:avLst>
                              <a:gd fmla="val -11187737" name="adj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CnPr/>
                        <wps:spPr>
                          <a:xfrm>
                            <a:off x="5681525" y="3121000"/>
                            <a:ext cx="600" cy="581700"/>
                          </a:xfrm>
                          <a:prstGeom prst="bentConnector3">
                            <a:avLst>
                              <a:gd fmla="val 8833342" name="adj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734563" y="3383525"/>
                            <a:ext cx="286500" cy="0"/>
                          </a:xfrm>
                          <a:prstGeom prst="straightConnector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SpPr/>
                        <wps:cNvPr id="42" name="Shape 42"/>
                        <wps:spPr>
                          <a:xfrm>
                            <a:off x="6126288" y="3521475"/>
                            <a:ext cx="1180800" cy="319800"/>
                          </a:xfrm>
                          <a:prstGeom prst="roundRect">
                            <a:avLst>
                              <a:gd fmla="val 16667" name="adj"/>
                            </a:avLst>
                          </a:prstGeom>
                          <a:solidFill>
                            <a:srgbClr val="307AF3"/>
                          </a:solidFill>
                          <a:ln cap="flat" cmpd="sng" w="9525">
                            <a:solidFill>
                              <a:srgbClr val="307A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18"/>
                                  <w:vertAlign w:val="baseline"/>
                                </w:rPr>
                                <w:t xml:space="preserve">High Attrition Map</w:t>
                              </w:r>
                            </w:p>
                          </w:txbxContent>
                        </wps:txbx>
                        <wps:bodyPr anchorCtr="0" anchor="ctr" bIns="91425" lIns="91425" spcFirstLastPara="1" rIns="91425" wrap="square" tIns="91425">
                          <a:noAutofit/>
                        </wps:bodyPr>
                      </wps:wsp>
                      <wps:wsp>
                        <wps:cNvCnPr/>
                        <wps:spPr>
                          <a:xfrm flipH="1">
                            <a:off x="6126413" y="3121000"/>
                            <a:ext cx="19800" cy="560400"/>
                          </a:xfrm>
                          <a:prstGeom prst="bentConnector3">
                            <a:avLst>
                              <a:gd fmla="val 620265" name="adj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963" y="3402275"/>
                            <a:ext cx="0" cy="0"/>
                          </a:xfrm>
                          <a:prstGeom prst="straightConnector1">
                            <a:avLst/>
                          </a:prstGeom>
                          <a:noFill/>
                          <a:ln cap="flat" cmpd="sng" w="9525">
                            <a:solidFill>
                              <a:srgbClr val="011B39"/>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3930375" y="2607025"/>
                            <a:ext cx="352388" cy="795300"/>
                            <a:chOff x="3930375" y="2607025"/>
                            <a:chExt cx="352388" cy="795300"/>
                          </a:xfrm>
                        </wpg:grpSpPr>
                        <wps:wsp>
                          <wps:cNvCnPr/>
                          <wps:spPr>
                            <a:xfrm>
                              <a:off x="3930375" y="2607025"/>
                              <a:ext cx="290700" cy="795300"/>
                            </a:xfrm>
                            <a:prstGeom prst="bentConnector3">
                              <a:avLst>
                                <a:gd fmla="val 49981" name="adj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963" y="3402275"/>
                              <a:ext cx="61800" cy="0"/>
                            </a:xfrm>
                            <a:prstGeom prst="straightConnector1">
                              <a:avLst/>
                            </a:prstGeom>
                            <a:noFill/>
                            <a:ln cap="flat" cmpd="sng" w="9525">
                              <a:solidFill>
                                <a:srgbClr val="9CA09C"/>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705406" cy="2735572"/>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05406" cy="27355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spacing w:after="0" w:line="276" w:lineRule="auto"/>
        <w:ind w:left="720" w:firstLine="0"/>
        <w:rPr>
          <w:i w:val="1"/>
          <w:iCs w:val="1"/>
          <w:color w:val="666666"/>
        </w:rPr>
      </w:pPr>
      <w:r w:rsidDel="00000000" w:rsidR="00000000" w:rsidRPr="00000000">
        <w:rPr>
          <w:b w:val="1"/>
          <w:bCs w:val="1"/>
          <w:sz w:val="18"/>
          <w:szCs w:val="18"/>
          <w:rtl w:val="0"/>
        </w:rPr>
        <w:t xml:space="preserve">Figure 1: Workflow diagram. </w:t>
      </w:r>
      <w:r w:rsidDel="00000000" w:rsidR="00000000" w:rsidRPr="00000000">
        <w:rPr>
          <w:sz w:val="18"/>
          <w:szCs w:val="18"/>
          <w:rtl w:val="0"/>
        </w:rPr>
        <w:t xml:space="preserve">Clinical trial characteristics were obtained through the ClinicalTrial.gov API and integrated with the Attrition Dataset and RUCA Dataset to create a dataset of National Clinical Trial (NCT) IDs, trial characteristics, and attrition rate. The Clinical Trial Dataset was used for both specific aims. </w:t>
      </w:r>
      <w:r w:rsidDel="00000000" w:rsidR="00000000" w:rsidRPr="00000000">
        <w:rPr>
          <w:rtl w:val="0"/>
        </w:rPr>
      </w:r>
    </w:p>
    <w:p w:rsidR="00000000" w:rsidDel="00000000" w:rsidP="00000000" w:rsidRDefault="00000000" w:rsidRPr="00000000" w14:paraId="00000015">
      <w:pPr>
        <w:pStyle w:val="Heading2"/>
        <w:rPr/>
      </w:pPr>
      <w:bookmarkStart w:colFirst="0" w:colLast="0" w:name="_fegf71kistrs" w:id="7"/>
      <w:bookmarkEnd w:id="7"/>
      <w:r w:rsidDel="00000000" w:rsidR="00000000" w:rsidRPr="00000000">
        <w:rPr>
          <w:rFonts w:ascii="Helvetica Neue" w:cs="Helvetica Neue" w:eastAsia="Helvetica Neue" w:hAnsi="Helvetica Neue"/>
          <w:u w:val="single"/>
          <w:rtl w:val="0"/>
        </w:rPr>
        <w:t xml:space="preserve">1. Data </w:t>
      </w:r>
      <w:r w:rsidDel="00000000" w:rsidR="00000000" w:rsidRPr="00000000">
        <w:rPr>
          <w:rtl w:val="0"/>
        </w:rPr>
        <w:t xml:space="preserve">Extraction, Integration and Pre-Processing</w:t>
      </w:r>
    </w:p>
    <w:p w:rsidR="00000000" w:rsidDel="00000000" w:rsidP="00000000" w:rsidRDefault="00000000" w:rsidRPr="00000000" w14:paraId="00000016">
      <w:pPr>
        <w:pStyle w:val="Heading3"/>
        <w:rPr/>
      </w:pPr>
      <w:bookmarkStart w:colFirst="0" w:colLast="0" w:name="_nwzx3mhmcdf9" w:id="8"/>
      <w:bookmarkEnd w:id="8"/>
      <w:r w:rsidDel="00000000" w:rsidR="00000000" w:rsidRPr="00000000">
        <w:rPr>
          <w:rtl w:val="0"/>
        </w:rPr>
        <w:t xml:space="preserve">1a. Data Extraction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first extracted data from several sources to build a robust dataset for machine learning analysis. The analysis utilized three distinct data sources:</w:t>
      </w:r>
    </w:p>
    <w:p w:rsidR="00000000" w:rsidDel="00000000" w:rsidP="00000000" w:rsidRDefault="00000000" w:rsidRPr="00000000" w14:paraId="00000018">
      <w:pPr>
        <w:numPr>
          <w:ilvl w:val="0"/>
          <w:numId w:val="1"/>
        </w:numPr>
        <w:spacing w:after="0" w:afterAutospacing="0"/>
        <w:ind w:left="720" w:hanging="360"/>
        <w:rPr>
          <w:u w:val="none"/>
        </w:rPr>
      </w:pPr>
      <w:r w:rsidDel="00000000" w:rsidR="00000000" w:rsidRPr="00000000">
        <w:rPr>
          <w:b w:val="1"/>
          <w:bCs w:val="1"/>
          <w:rtl w:val="0"/>
        </w:rPr>
        <w:t xml:space="preserve">Attrition dataset</w:t>
      </w:r>
      <w:r w:rsidDel="00000000" w:rsidR="00000000" w:rsidRPr="00000000">
        <w:rPr>
          <w:rtl w:val="0"/>
        </w:rPr>
        <w:t xml:space="preserve"> – consists of 1325 unique National Clinical Trial (NCT) IDs and each trial’s associated attrition rate as a percentage.</w:t>
      </w:r>
    </w:p>
    <w:p w:rsidR="00000000" w:rsidDel="00000000" w:rsidP="00000000" w:rsidRDefault="00000000" w:rsidRPr="00000000" w14:paraId="00000019">
      <w:pPr>
        <w:numPr>
          <w:ilvl w:val="0"/>
          <w:numId w:val="1"/>
        </w:numPr>
        <w:spacing w:after="0" w:afterAutospacing="0"/>
        <w:ind w:left="720" w:hanging="360"/>
        <w:rPr>
          <w:u w:val="none"/>
        </w:rPr>
      </w:pPr>
      <w:r w:rsidDel="00000000" w:rsidR="00000000" w:rsidRPr="00000000">
        <w:rPr>
          <w:b w:val="1"/>
          <w:bCs w:val="1"/>
          <w:rtl w:val="0"/>
        </w:rPr>
        <w:t xml:space="preserve">Rural-Urban Commuting Area (RUCA) dataset</w:t>
      </w:r>
      <w:r w:rsidDel="00000000" w:rsidR="00000000" w:rsidRPr="00000000">
        <w:rPr>
          <w:rtl w:val="0"/>
        </w:rPr>
        <w:t xml:space="preserve"> – categorizes U.S. zip codes based on the 2020 Census data into geographic classifications reflecting rural and urban characteristics. </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ClinicalTrials.gov API</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Called the API by NCT IDs provided in the Attrition dataset to obtain comprehensive characteristics of each clinical trial that may contribute to attrition rate (Table 1).</w:t>
      </w:r>
    </w:p>
    <w:p w:rsidR="00000000" w:rsidDel="00000000" w:rsidP="00000000" w:rsidRDefault="00000000" w:rsidRPr="00000000" w14:paraId="0000001B">
      <w:pPr>
        <w:ind w:left="0" w:firstLine="0"/>
        <w:rPr/>
      </w:pPr>
      <w:r w:rsidDel="00000000" w:rsidR="00000000" w:rsidRPr="00000000">
        <w:rPr>
          <w:rtl w:val="0"/>
        </w:rPr>
        <w:t xml:space="preserve">The characteristics we selectively retrieved from the ClinicalTrials.gov API included:</w:t>
      </w:r>
    </w:p>
    <w:p w:rsidR="00000000" w:rsidDel="00000000" w:rsidP="00000000" w:rsidRDefault="00000000" w:rsidRPr="00000000" w14:paraId="0000001C">
      <w:pPr>
        <w:widowControl w:val="0"/>
        <w:spacing w:after="0" w:line="276" w:lineRule="auto"/>
        <w:rPr>
          <w:rFonts w:ascii="Arial" w:cs="Arial" w:eastAsia="Arial" w:hAnsi="Arial"/>
        </w:rPr>
      </w:pPr>
      <w:r w:rsidDel="00000000" w:rsidR="00000000" w:rsidRPr="00000000">
        <w:rPr>
          <w:rtl w:val="0"/>
        </w:rPr>
      </w:r>
    </w:p>
    <w:tbl>
      <w:tblPr>
        <w:tblStyle w:val="Table1"/>
        <w:tblW w:w="1056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805"/>
        <w:gridCol w:w="7755"/>
        <w:tblGridChange w:id="0">
          <w:tblGrid>
            <w:gridCol w:w="2805"/>
            <w:gridCol w:w="7755"/>
          </w:tblGrid>
        </w:tblGridChange>
      </w:tblGrid>
      <w:tr>
        <w:trPr>
          <w:cantSplit w:val="0"/>
          <w:trHeight w:val="340" w:hRule="atLeast"/>
          <w:tblHeader w:val="0"/>
        </w:trPr>
        <w:tc>
          <w:tcPr>
            <w:shd w:fill="f3f3f3" w:val="clear"/>
            <w:tcMar>
              <w:top w:w="140.0" w:type="dxa"/>
              <w:left w:w="140.0" w:type="dxa"/>
              <w:bottom w:w="140.0" w:type="dxa"/>
              <w:right w:w="140.0" w:type="dxa"/>
            </w:tcMar>
            <w:vAlign w:val="top"/>
          </w:tcPr>
          <w:p w:rsidR="00000000" w:rsidDel="00000000" w:rsidP="00000000" w:rsidRDefault="00000000" w:rsidRPr="00000000" w14:paraId="0000001D">
            <w:pPr>
              <w:widowControl w:val="0"/>
              <w:spacing w:after="0" w:lineRule="auto"/>
              <w:rPr>
                <w:b w:val="1"/>
                <w:bCs w:val="1"/>
              </w:rPr>
            </w:pPr>
            <w:r w:rsidDel="00000000" w:rsidR="00000000" w:rsidRPr="00000000">
              <w:rPr>
                <w:b w:val="1"/>
                <w:bCs w:val="1"/>
                <w:rtl w:val="0"/>
              </w:rPr>
              <w:t xml:space="preserve">Category</w:t>
            </w:r>
          </w:p>
        </w:tc>
        <w:tc>
          <w:tcPr>
            <w:shd w:fill="f3f3f3" w:val="clear"/>
            <w:tcMar>
              <w:top w:w="140.0" w:type="dxa"/>
              <w:left w:w="140.0" w:type="dxa"/>
              <w:bottom w:w="140.0" w:type="dxa"/>
              <w:right w:w="140.0" w:type="dxa"/>
            </w:tcMar>
            <w:vAlign w:val="top"/>
          </w:tcPr>
          <w:p w:rsidR="00000000" w:rsidDel="00000000" w:rsidP="00000000" w:rsidRDefault="00000000" w:rsidRPr="00000000" w14:paraId="0000001E">
            <w:pPr>
              <w:widowControl w:val="0"/>
              <w:spacing w:after="0" w:lineRule="auto"/>
              <w:rPr>
                <w:b w:val="1"/>
                <w:bCs w:val="1"/>
              </w:rPr>
            </w:pPr>
            <w:r w:rsidDel="00000000" w:rsidR="00000000" w:rsidRPr="00000000">
              <w:rPr>
                <w:b w:val="1"/>
                <w:bCs w:val="1"/>
                <w:rtl w:val="0"/>
              </w:rPr>
              <w:t xml:space="preserve">Features</w:t>
            </w:r>
          </w:p>
        </w:tc>
      </w:tr>
      <w:tr>
        <w:trPr>
          <w:cantSplit w:val="0"/>
          <w:trHeight w:val="3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1F">
            <w:pPr>
              <w:widowControl w:val="0"/>
              <w:spacing w:after="0" w:lineRule="auto"/>
              <w:rPr/>
            </w:pPr>
            <w:r w:rsidDel="00000000" w:rsidR="00000000" w:rsidRPr="00000000">
              <w:rPr>
                <w:rtl w:val="0"/>
              </w:rPr>
              <w:t xml:space="preserve">Study Identifiers</w:t>
            </w:r>
          </w:p>
        </w:tc>
        <w:tc>
          <w:tcPr>
            <w:tcMar>
              <w:top w:w="140.0" w:type="dxa"/>
              <w:left w:w="140.0" w:type="dxa"/>
              <w:bottom w:w="140.0" w:type="dxa"/>
              <w:right w:w="140.0" w:type="dxa"/>
            </w:tcMar>
            <w:vAlign w:val="top"/>
          </w:tcPr>
          <w:p w:rsidR="00000000" w:rsidDel="00000000" w:rsidP="00000000" w:rsidRDefault="00000000" w:rsidRPr="00000000" w14:paraId="00000020">
            <w:pPr>
              <w:widowControl w:val="0"/>
              <w:spacing w:after="0" w:lineRule="auto"/>
              <w:rPr/>
            </w:pPr>
            <w:r w:rsidDel="00000000" w:rsidR="00000000" w:rsidRPr="00000000">
              <w:rPr>
                <w:rtl w:val="0"/>
              </w:rPr>
              <w:t xml:space="preserve">Title (brief and official), Organization (name and class)</w:t>
            </w:r>
          </w:p>
        </w:tc>
      </w:tr>
      <w:tr>
        <w:trPr>
          <w:cantSplit w:val="0"/>
          <w:trHeight w:val="3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21">
            <w:pPr>
              <w:widowControl w:val="0"/>
              <w:spacing w:after="0" w:lineRule="auto"/>
              <w:rPr/>
            </w:pPr>
            <w:r w:rsidDel="00000000" w:rsidR="00000000" w:rsidRPr="00000000">
              <w:rPr>
                <w:rtl w:val="0"/>
              </w:rPr>
              <w:t xml:space="preserve">Study Status &amp; Type</w:t>
            </w:r>
          </w:p>
        </w:tc>
        <w:tc>
          <w:tcPr>
            <w:tcMar>
              <w:top w:w="140.0" w:type="dxa"/>
              <w:left w:w="140.0" w:type="dxa"/>
              <w:bottom w:w="140.0" w:type="dxa"/>
              <w:right w:w="140.0" w:type="dxa"/>
            </w:tcMar>
            <w:vAlign w:val="top"/>
          </w:tcPr>
          <w:p w:rsidR="00000000" w:rsidDel="00000000" w:rsidP="00000000" w:rsidRDefault="00000000" w:rsidRPr="00000000" w14:paraId="00000022">
            <w:pPr>
              <w:widowControl w:val="0"/>
              <w:spacing w:after="0" w:lineRule="auto"/>
              <w:rPr/>
            </w:pPr>
            <w:r w:rsidDel="00000000" w:rsidR="00000000" w:rsidRPr="00000000">
              <w:rPr>
                <w:rtl w:val="0"/>
              </w:rPr>
              <w:t xml:space="preserve">Overall Status, Study Type, Phase, Primary Purpose, Condition</w:t>
            </w:r>
          </w:p>
        </w:tc>
      </w:tr>
      <w:tr>
        <w:trPr>
          <w:cantSplit w:val="0"/>
          <w:trHeight w:val="3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23">
            <w:pPr>
              <w:widowControl w:val="0"/>
              <w:spacing w:after="0" w:lineRule="auto"/>
              <w:rPr/>
            </w:pPr>
            <w:r w:rsidDel="00000000" w:rsidR="00000000" w:rsidRPr="00000000">
              <w:rPr>
                <w:rtl w:val="0"/>
              </w:rPr>
              <w:t xml:space="preserve">Study Timeline</w:t>
            </w:r>
          </w:p>
        </w:tc>
        <w:tc>
          <w:tcPr>
            <w:tcMar>
              <w:top w:w="140.0" w:type="dxa"/>
              <w:left w:w="140.0" w:type="dxa"/>
              <w:bottom w:w="140.0" w:type="dxa"/>
              <w:right w:w="140.0" w:type="dxa"/>
            </w:tcMar>
            <w:vAlign w:val="top"/>
          </w:tcPr>
          <w:p w:rsidR="00000000" w:rsidDel="00000000" w:rsidP="00000000" w:rsidRDefault="00000000" w:rsidRPr="00000000" w14:paraId="00000024">
            <w:pPr>
              <w:widowControl w:val="0"/>
              <w:spacing w:after="0" w:lineRule="auto"/>
              <w:rPr/>
            </w:pPr>
            <w:r w:rsidDel="00000000" w:rsidR="00000000" w:rsidRPr="00000000">
              <w:rPr>
                <w:rtl w:val="0"/>
              </w:rPr>
              <w:t xml:space="preserve">Start Date, End Date, Duration</w:t>
            </w:r>
          </w:p>
        </w:tc>
      </w:tr>
      <w:tr>
        <w:trPr>
          <w:cantSplit w:val="0"/>
          <w:trHeight w:val="3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25">
            <w:pPr>
              <w:widowControl w:val="0"/>
              <w:spacing w:after="0" w:lineRule="auto"/>
              <w:rPr/>
            </w:pPr>
            <w:r w:rsidDel="00000000" w:rsidR="00000000" w:rsidRPr="00000000">
              <w:rPr>
                <w:rtl w:val="0"/>
              </w:rPr>
              <w:t xml:space="preserve">Study Enrollment</w:t>
            </w:r>
          </w:p>
        </w:tc>
        <w:tc>
          <w:tcPr>
            <w:tcMar>
              <w:top w:w="140.0" w:type="dxa"/>
              <w:left w:w="140.0" w:type="dxa"/>
              <w:bottom w:w="140.0" w:type="dxa"/>
              <w:right w:w="140.0" w:type="dxa"/>
            </w:tcMar>
            <w:vAlign w:val="top"/>
          </w:tcPr>
          <w:p w:rsidR="00000000" w:rsidDel="00000000" w:rsidP="00000000" w:rsidRDefault="00000000" w:rsidRPr="00000000" w14:paraId="00000026">
            <w:pPr>
              <w:widowControl w:val="0"/>
              <w:spacing w:after="0" w:lineRule="auto"/>
              <w:rPr/>
            </w:pPr>
            <w:r w:rsidDel="00000000" w:rsidR="00000000" w:rsidRPr="00000000">
              <w:rPr>
                <w:rtl w:val="0"/>
              </w:rPr>
              <w:t xml:space="preserve">Actual Enrollment</w:t>
            </w:r>
          </w:p>
        </w:tc>
      </w:tr>
      <w:tr>
        <w:trPr>
          <w:cantSplit w:val="0"/>
          <w:trHeight w:val="3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27">
            <w:pPr>
              <w:widowControl w:val="0"/>
              <w:spacing w:after="0" w:lineRule="auto"/>
              <w:rPr/>
            </w:pPr>
            <w:r w:rsidDel="00000000" w:rsidR="00000000" w:rsidRPr="00000000">
              <w:rPr>
                <w:rtl w:val="0"/>
              </w:rPr>
              <w:t xml:space="preserve">Eligibility Criteria</w:t>
            </w:r>
          </w:p>
        </w:tc>
        <w:tc>
          <w:tcPr>
            <w:tcMar>
              <w:top w:w="140.0" w:type="dxa"/>
              <w:left w:w="140.0" w:type="dxa"/>
              <w:bottom w:w="140.0" w:type="dxa"/>
              <w:right w:w="140.0" w:type="dxa"/>
            </w:tcMar>
            <w:vAlign w:val="top"/>
          </w:tcPr>
          <w:p w:rsidR="00000000" w:rsidDel="00000000" w:rsidP="00000000" w:rsidRDefault="00000000" w:rsidRPr="00000000" w14:paraId="00000028">
            <w:pPr>
              <w:widowControl w:val="0"/>
              <w:spacing w:after="0" w:lineRule="auto"/>
              <w:rPr/>
            </w:pPr>
            <w:r w:rsidDel="00000000" w:rsidR="00000000" w:rsidRPr="00000000">
              <w:rPr>
                <w:rtl w:val="0"/>
              </w:rPr>
              <w:t xml:space="preserve">Minimum Age Eligible, Maximum Age Eligible, Gender Eligible</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29">
            <w:pPr>
              <w:widowControl w:val="0"/>
              <w:spacing w:after="0" w:lineRule="auto"/>
              <w:rPr/>
            </w:pPr>
            <w:r w:rsidDel="00000000" w:rsidR="00000000" w:rsidRPr="00000000">
              <w:rPr>
                <w:rtl w:val="0"/>
              </w:rPr>
              <w:t xml:space="preserve">Adverse Events</w:t>
            </w:r>
          </w:p>
        </w:tc>
        <w:tc>
          <w:tcPr>
            <w:tcMar>
              <w:top w:w="140.0" w:type="dxa"/>
              <w:left w:w="140.0" w:type="dxa"/>
              <w:bottom w:w="140.0" w:type="dxa"/>
              <w:right w:w="140.0" w:type="dxa"/>
            </w:tcMar>
            <w:vAlign w:val="top"/>
          </w:tcPr>
          <w:p w:rsidR="00000000" w:rsidDel="00000000" w:rsidP="00000000" w:rsidRDefault="00000000" w:rsidRPr="00000000" w14:paraId="0000002A">
            <w:pPr>
              <w:widowControl w:val="0"/>
              <w:spacing w:after="0" w:lineRule="auto"/>
              <w:rPr/>
            </w:pPr>
            <w:r w:rsidDel="00000000" w:rsidR="00000000" w:rsidRPr="00000000">
              <w:rPr>
                <w:rtl w:val="0"/>
              </w:rPr>
              <w:t xml:space="preserve">Adverse Event Count</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2B">
            <w:pPr>
              <w:widowControl w:val="0"/>
              <w:spacing w:after="0" w:lineRule="auto"/>
              <w:rPr/>
            </w:pPr>
            <w:r w:rsidDel="00000000" w:rsidR="00000000" w:rsidRPr="00000000">
              <w:rPr>
                <w:rtl w:val="0"/>
              </w:rPr>
              <w:t xml:space="preserve">Geographic</w:t>
            </w:r>
          </w:p>
        </w:tc>
        <w:tc>
          <w:tcPr>
            <w:tcMar>
              <w:top w:w="140.0" w:type="dxa"/>
              <w:left w:w="140.0" w:type="dxa"/>
              <w:bottom w:w="140.0" w:type="dxa"/>
              <w:right w:w="140.0" w:type="dxa"/>
            </w:tcMar>
            <w:vAlign w:val="top"/>
          </w:tcPr>
          <w:p w:rsidR="00000000" w:rsidDel="00000000" w:rsidP="00000000" w:rsidRDefault="00000000" w:rsidRPr="00000000" w14:paraId="0000002C">
            <w:pPr>
              <w:widowControl w:val="0"/>
              <w:spacing w:after="0" w:lineRule="auto"/>
              <w:rPr/>
            </w:pPr>
            <w:r w:rsidDel="00000000" w:rsidR="00000000" w:rsidRPr="00000000">
              <w:rPr>
                <w:rtl w:val="0"/>
              </w:rPr>
              <w:t xml:space="preserve">Locations (full address, zip code), Location Count, RUCA Binary Value (urban vs non urban)</w:t>
            </w:r>
          </w:p>
        </w:tc>
      </w:tr>
    </w:tbl>
    <w:p w:rsidR="00000000" w:rsidDel="00000000" w:rsidP="00000000" w:rsidRDefault="00000000" w:rsidRPr="00000000" w14:paraId="0000002D">
      <w:pPr>
        <w:spacing w:after="0" w:line="276" w:lineRule="auto"/>
        <w:rPr>
          <w:b w:val="1"/>
          <w:bCs w:val="1"/>
        </w:rPr>
      </w:pPr>
      <w:r w:rsidDel="00000000" w:rsidR="00000000" w:rsidRPr="00000000">
        <w:rPr>
          <w:b w:val="1"/>
          <w:bCs w:val="1"/>
          <w:sz w:val="18"/>
          <w:szCs w:val="18"/>
          <w:rtl w:val="0"/>
        </w:rPr>
        <w:t xml:space="preserve">Table 1: Features retrieved from the ClinicalTrial.gov API. </w:t>
      </w:r>
      <w:r w:rsidDel="00000000" w:rsidR="00000000" w:rsidRPr="00000000">
        <w:rPr>
          <w:rtl w:val="0"/>
        </w:rPr>
      </w:r>
    </w:p>
    <w:p w:rsidR="00000000" w:rsidDel="00000000" w:rsidP="00000000" w:rsidRDefault="00000000" w:rsidRPr="00000000" w14:paraId="0000002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F">
      <w:pPr>
        <w:pStyle w:val="Heading3"/>
        <w:rPr>
          <w:rFonts w:ascii="Helvetica Neue" w:cs="Helvetica Neue" w:eastAsia="Helvetica Neue" w:hAnsi="Helvetica Neue"/>
          <w:b w:val="1"/>
          <w:bCs w:val="1"/>
          <w:u w:val="none"/>
        </w:rPr>
      </w:pPr>
      <w:bookmarkStart w:colFirst="0" w:colLast="0" w:name="_95wjpe75cmxb" w:id="9"/>
      <w:bookmarkEnd w:id="9"/>
      <w:r w:rsidDel="00000000" w:rsidR="00000000" w:rsidRPr="00000000">
        <w:rPr>
          <w:rFonts w:ascii="Helvetica Neue" w:cs="Helvetica Neue" w:eastAsia="Helvetica Neue" w:hAnsi="Helvetica Neue"/>
          <w:b w:val="1"/>
          <w:bCs w:val="1"/>
          <w:u w:val="none"/>
          <w:rtl w:val="0"/>
        </w:rPr>
        <w:t xml:space="preserve">1b. </w:t>
      </w:r>
      <w:r w:rsidDel="00000000" w:rsidR="00000000" w:rsidRPr="00000000">
        <w:rPr>
          <w:rtl w:val="0"/>
        </w:rPr>
        <w:t xml:space="preserve">Data Integration and Pre-Processing</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Attrition Dataset and RUCA datasets were integrated with the features obtained from the ClinicalTrials.gov API by merging on the NCT ID. The final Clinical Trials dataset included the NCT ID, clinical trial features as previously described and the attrition rate as a percentage. </w:t>
      </w:r>
    </w:p>
    <w:p w:rsidR="00000000" w:rsidDel="00000000" w:rsidP="00000000" w:rsidRDefault="00000000" w:rsidRPr="00000000" w14:paraId="00000031">
      <w:pPr>
        <w:rPr>
          <w:rFonts w:ascii="Helvetica Neue" w:cs="Helvetica Neue" w:eastAsia="Helvetica Neue" w:hAnsi="Helvetica Neue"/>
          <w:i w:val="1"/>
          <w:iCs w:val="1"/>
          <w:color w:val="666666"/>
        </w:rPr>
      </w:pPr>
      <w:r w:rsidDel="00000000" w:rsidR="00000000" w:rsidRPr="00000000">
        <w:rPr>
          <w:rtl w:val="0"/>
        </w:rPr>
        <w:t xml:space="preserve">Additionally, the RUCA classifications were abstracted to a binary value representing urban vs non-urban status, where 1 represented an urban location and 0 represented a non-urban location. Each NCT ID had a list of site locations, and a RUCA binary value was assigned to each site for each NCT ID based on the site zip code. A RUCA label was assigned to a given NCT ID by finding the most commonly occurring RUCA label for all sites listed under the ID. We chose to include this binary classification because geographic location of trial sites may influence attrition rate. For example, a trial site in a rural location may have a higher attrition rate because the location is inaccessible by public transportation.</w:t>
      </w:r>
      <w:r w:rsidDel="00000000" w:rsidR="00000000" w:rsidRPr="00000000">
        <w:rPr>
          <w:rtl w:val="0"/>
        </w:rPr>
      </w:r>
    </w:p>
    <w:p w:rsidR="00000000" w:rsidDel="00000000" w:rsidP="00000000" w:rsidRDefault="00000000" w:rsidRPr="00000000" w14:paraId="00000032">
      <w:pPr>
        <w:pStyle w:val="Heading2"/>
        <w:rPr>
          <w:rFonts w:ascii="Helvetica Neue" w:cs="Helvetica Neue" w:eastAsia="Helvetica Neue" w:hAnsi="Helvetica Neue"/>
          <w:u w:val="single"/>
        </w:rPr>
      </w:pPr>
      <w:bookmarkStart w:colFirst="0" w:colLast="0" w:name="_a331egvbqh9e" w:id="10"/>
      <w:bookmarkEnd w:id="10"/>
      <w:r w:rsidDel="00000000" w:rsidR="00000000" w:rsidRPr="00000000">
        <w:rPr>
          <w:rFonts w:ascii="Helvetica Neue" w:cs="Helvetica Neue" w:eastAsia="Helvetica Neue" w:hAnsi="Helvetica Neue"/>
          <w:u w:val="single"/>
          <w:rtl w:val="0"/>
        </w:rPr>
        <w:t xml:space="preserve">2. Feature and Outcome Selection</w:t>
      </w:r>
    </w:p>
    <w:p w:rsidR="00000000" w:rsidDel="00000000" w:rsidP="00000000" w:rsidRDefault="00000000" w:rsidRPr="00000000" w14:paraId="00000033">
      <w:pPr>
        <w:spacing w:after="240" w:before="240" w:lineRule="auto"/>
        <w:rPr/>
      </w:pPr>
      <w:r w:rsidDel="00000000" w:rsidR="00000000" w:rsidRPr="00000000">
        <w:rPr>
          <w:rtl w:val="0"/>
        </w:rPr>
        <w:t xml:space="preserve">We carefully evaluated each feature's relevance and predictive potential in selecting features for our machine learning model to predict patient attrition in clinical trials. </w:t>
      </w:r>
    </w:p>
    <w:p w:rsidR="00000000" w:rsidDel="00000000" w:rsidP="00000000" w:rsidRDefault="00000000" w:rsidRPr="00000000" w14:paraId="00000034">
      <w:pPr>
        <w:spacing w:after="240" w:before="240" w:lineRule="auto"/>
        <w:rPr/>
      </w:pPr>
      <w:r w:rsidDel="00000000" w:rsidR="00000000" w:rsidRPr="00000000">
        <w:rPr>
          <w:rtl w:val="0"/>
        </w:rPr>
        <w:t xml:space="preserve">Several features were excluded due to high variability, redundancy, or lack of meaningful categorization:</w:t>
      </w:r>
    </w:p>
    <w:p w:rsidR="00000000" w:rsidDel="00000000" w:rsidP="00000000" w:rsidRDefault="00000000" w:rsidRPr="00000000" w14:paraId="00000035">
      <w:pPr>
        <w:numPr>
          <w:ilvl w:val="0"/>
          <w:numId w:val="5"/>
        </w:numPr>
        <w:spacing w:after="0" w:afterAutospacing="0" w:before="240" w:lineRule="auto"/>
        <w:ind w:left="720" w:hanging="360"/>
        <w:rPr>
          <w:u w:val="none"/>
        </w:rPr>
      </w:pPr>
      <w:r w:rsidDel="00000000" w:rsidR="00000000" w:rsidRPr="00000000">
        <w:rPr>
          <w:b w:val="1"/>
          <w:bCs w:val="1"/>
          <w:rtl w:val="0"/>
        </w:rPr>
        <w:t xml:space="preserve">Brief title</w:t>
      </w:r>
      <w:r w:rsidDel="00000000" w:rsidR="00000000" w:rsidRPr="00000000">
        <w:rPr>
          <w:rtl w:val="0"/>
        </w:rPr>
        <w:t xml:space="preserve"> and </w:t>
      </w:r>
      <w:r w:rsidDel="00000000" w:rsidR="00000000" w:rsidRPr="00000000">
        <w:rPr>
          <w:b w:val="1"/>
          <w:bCs w:val="1"/>
          <w:rtl w:val="0"/>
        </w:rPr>
        <w:t xml:space="preserve">official title</w:t>
      </w:r>
      <w:r w:rsidDel="00000000" w:rsidR="00000000" w:rsidRPr="00000000">
        <w:rPr>
          <w:rtl w:val="0"/>
        </w:rPr>
        <w:t xml:space="preserve"> –  exhibited high variability as unstructured free text.</w:t>
      </w:r>
    </w:p>
    <w:p w:rsidR="00000000" w:rsidDel="00000000" w:rsidP="00000000" w:rsidRDefault="00000000" w:rsidRPr="00000000" w14:paraId="00000036">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Organization name</w:t>
      </w:r>
      <w:r w:rsidDel="00000000" w:rsidR="00000000" w:rsidRPr="00000000">
        <w:rPr>
          <w:rtl w:val="0"/>
        </w:rPr>
        <w:t xml:space="preserve"> – also exhibited high variability. Instead we opted to use </w:t>
      </w:r>
      <w:r w:rsidDel="00000000" w:rsidR="00000000" w:rsidRPr="00000000">
        <w:rPr>
          <w:b w:val="1"/>
          <w:bCs w:val="1"/>
          <w:rtl w:val="0"/>
        </w:rPr>
        <w:t xml:space="preserve">organization class</w:t>
      </w:r>
      <w:r w:rsidDel="00000000" w:rsidR="00000000" w:rsidRPr="00000000">
        <w:rPr>
          <w:rtl w:val="0"/>
        </w:rPr>
        <w:t xml:space="preserve">, </w:t>
      </w:r>
      <w:r w:rsidDel="00000000" w:rsidR="00000000" w:rsidRPr="00000000">
        <w:rPr>
          <w:rtl w:val="0"/>
        </w:rPr>
        <w:t xml:space="preserve">as it had fewer unique values and could be effectively categorized. </w:t>
      </w:r>
    </w:p>
    <w:p w:rsidR="00000000" w:rsidDel="00000000" w:rsidP="00000000" w:rsidRDefault="00000000" w:rsidRPr="00000000" w14:paraId="00000037">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Overall status</w:t>
      </w:r>
      <w:r w:rsidDel="00000000" w:rsidR="00000000" w:rsidRPr="00000000">
        <w:rPr>
          <w:rtl w:val="0"/>
        </w:rPr>
        <w:t xml:space="preserve"> and </w:t>
      </w:r>
      <w:r w:rsidDel="00000000" w:rsidR="00000000" w:rsidRPr="00000000">
        <w:rPr>
          <w:b w:val="1"/>
          <w:bCs w:val="1"/>
          <w:rtl w:val="0"/>
        </w:rPr>
        <w:t xml:space="preserve">study type</w:t>
      </w:r>
      <w:r w:rsidDel="00000000" w:rsidR="00000000" w:rsidRPr="00000000">
        <w:rPr>
          <w:rtl w:val="0"/>
        </w:rPr>
        <w:t xml:space="preserve"> – had the same value across all trials, offering no variation to aid prediction.</w:t>
      </w:r>
    </w:p>
    <w:p w:rsidR="00000000" w:rsidDel="00000000" w:rsidP="00000000" w:rsidRDefault="00000000" w:rsidRPr="00000000" w14:paraId="00000038">
      <w:pPr>
        <w:numPr>
          <w:ilvl w:val="0"/>
          <w:numId w:val="5"/>
        </w:numPr>
        <w:spacing w:after="240" w:before="0" w:beforeAutospacing="0" w:lineRule="auto"/>
        <w:ind w:left="720" w:hanging="360"/>
        <w:rPr>
          <w:u w:val="none"/>
        </w:rPr>
      </w:pPr>
      <w:r w:rsidDel="00000000" w:rsidR="00000000" w:rsidRPr="00000000">
        <w:rPr>
          <w:b w:val="1"/>
          <w:bCs w:val="1"/>
          <w:rtl w:val="0"/>
        </w:rPr>
        <w:t xml:space="preserve">End date</w:t>
      </w:r>
      <w:r w:rsidDel="00000000" w:rsidR="00000000" w:rsidRPr="00000000">
        <w:rPr>
          <w:rtl w:val="0"/>
        </w:rPr>
        <w:t xml:space="preserve"> – lacked standalone predictive value, although it was utilized indirectly to calculate trial duration.</w:t>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The outcome variable for this analysis, dropout label, was derived from the</w:t>
      </w:r>
      <w:r w:rsidDel="00000000" w:rsidR="00000000" w:rsidRPr="00000000">
        <w:rPr>
          <w:b w:val="1"/>
          <w:bCs w:val="1"/>
          <w:rtl w:val="0"/>
        </w:rPr>
        <w:t xml:space="preserve"> </w:t>
      </w:r>
      <w:r w:rsidDel="00000000" w:rsidR="00000000" w:rsidRPr="00000000">
        <w:rPr>
          <w:rtl w:val="0"/>
        </w:rPr>
        <w:t xml:space="preserve">dropout_percentage_all </w:t>
      </w:r>
      <w:r w:rsidDel="00000000" w:rsidR="00000000" w:rsidRPr="00000000">
        <w:rPr>
          <w:rtl w:val="0"/>
        </w:rPr>
        <w:t xml:space="preserve">column. We created a binary label using the following logic: if the attrition percentage exceeded the median attrition rate, the value was assigned as 1 (indicating high attrition), otherwise it was assigned as 0. This transformation allowed us to simplify the prediction task into a binary classification problem, focusing on whether a trial experienced high attrition.</w:t>
      </w:r>
    </w:p>
    <w:p w:rsidR="00000000" w:rsidDel="00000000" w:rsidP="00000000" w:rsidRDefault="00000000" w:rsidRPr="00000000" w14:paraId="0000003A">
      <w:pPr>
        <w:spacing w:after="240" w:before="240" w:lineRule="auto"/>
        <w:rPr/>
      </w:pPr>
      <w:r w:rsidDel="00000000" w:rsidR="00000000" w:rsidRPr="00000000">
        <w:rPr>
          <w:rtl w:val="0"/>
        </w:rPr>
        <w:t xml:space="preserve">We selected </w:t>
      </w:r>
      <w:r w:rsidDel="00000000" w:rsidR="00000000" w:rsidRPr="00000000">
        <w:rPr>
          <w:b w:val="1"/>
          <w:bCs w:val="1"/>
          <w:rtl w:val="0"/>
        </w:rPr>
        <w:t xml:space="preserve">10 key features </w:t>
      </w:r>
      <w:r w:rsidDel="00000000" w:rsidR="00000000" w:rsidRPr="00000000">
        <w:rPr>
          <w:rtl w:val="0"/>
        </w:rPr>
        <w:t xml:space="preserve">for our model based on their predictive relevance (Table 2). </w:t>
      </w:r>
      <w:r w:rsidDel="00000000" w:rsidR="00000000" w:rsidRPr="00000000">
        <w:rPr>
          <w:b w:val="1"/>
          <w:bCs w:val="1"/>
          <w:rtl w:val="0"/>
        </w:rPr>
        <w:t xml:space="preserve">Organization class</w:t>
      </w:r>
      <w:r w:rsidDel="00000000" w:rsidR="00000000" w:rsidRPr="00000000">
        <w:rPr>
          <w:rtl w:val="0"/>
        </w:rPr>
        <w:t xml:space="preserve">, a categorical variable representing the type of organization (e.g., pharma or academic), was encoded using one-hot encoding. </w:t>
      </w:r>
      <w:r w:rsidDel="00000000" w:rsidR="00000000" w:rsidRPr="00000000">
        <w:rPr>
          <w:b w:val="1"/>
          <w:bCs w:val="1"/>
          <w:rtl w:val="0"/>
        </w:rPr>
        <w:t xml:space="preserve">Duration</w:t>
      </w:r>
      <w:r w:rsidDel="00000000" w:rsidR="00000000" w:rsidRPr="00000000">
        <w:rPr>
          <w:rtl w:val="0"/>
        </w:rPr>
        <w:t xml:space="preserve">, a numeric feature calculated from the start and end dates, represented the length of the trial, as longer trials might increase the likelihood of participant attrition. The </w:t>
      </w:r>
      <w:r w:rsidDel="00000000" w:rsidR="00000000" w:rsidRPr="00000000">
        <w:rPr>
          <w:b w:val="1"/>
          <w:bCs w:val="1"/>
          <w:rtl w:val="0"/>
        </w:rPr>
        <w:t xml:space="preserve">days since start</w:t>
      </w:r>
      <w:r w:rsidDel="00000000" w:rsidR="00000000" w:rsidRPr="00000000">
        <w:rPr>
          <w:rtl w:val="0"/>
        </w:rPr>
        <w:t xml:space="preserve"> feature, which represents how old the trial is, was calculated by subtracting the study start date from today's date. The </w:t>
      </w:r>
      <w:r w:rsidDel="00000000" w:rsidR="00000000" w:rsidRPr="00000000">
        <w:rPr>
          <w:b w:val="1"/>
          <w:bCs w:val="1"/>
          <w:rtl w:val="0"/>
        </w:rPr>
        <w:t xml:space="preserve">phase</w:t>
      </w:r>
      <w:r w:rsidDel="00000000" w:rsidR="00000000" w:rsidRPr="00000000">
        <w:rPr>
          <w:rtl w:val="0"/>
        </w:rPr>
        <w:t xml:space="preserve"> of the trial, which ranges from Phase 1 (safety evaluation) to Phase 4 (post-market surveillance), was treated as an ordinal variable and encoded accordingly. </w:t>
      </w:r>
      <w:r w:rsidDel="00000000" w:rsidR="00000000" w:rsidRPr="00000000">
        <w:rPr>
          <w:b w:val="1"/>
          <w:bCs w:val="1"/>
          <w:rtl w:val="0"/>
        </w:rPr>
        <w:t xml:space="preserve">Primary purpose</w:t>
      </w:r>
      <w:r w:rsidDel="00000000" w:rsidR="00000000" w:rsidRPr="00000000">
        <w:rPr>
          <w:rtl w:val="0"/>
        </w:rPr>
        <w:t xml:space="preserve">, with 8 unique values such as treatment and prevention, was encoded using one-hot encoding to capture its categorical nature. Maximum age was converted to a numeric value, categorized into broader groups, and treated as an ordinal variable (e.g., unknown, &lt;18, ...).</w:t>
      </w:r>
    </w:p>
    <w:p w:rsidR="00000000" w:rsidDel="00000000" w:rsidP="00000000" w:rsidRDefault="00000000" w:rsidRPr="00000000" w14:paraId="0000003B">
      <w:pPr>
        <w:spacing w:after="240" w:before="240" w:lineRule="auto"/>
        <w:rPr/>
      </w:pPr>
      <w:r w:rsidDel="00000000" w:rsidR="00000000" w:rsidRPr="00000000">
        <w:rPr>
          <w:rtl w:val="0"/>
        </w:rPr>
        <w:t xml:space="preserve">Other numeric features included </w:t>
      </w:r>
      <w:r w:rsidDel="00000000" w:rsidR="00000000" w:rsidRPr="00000000">
        <w:rPr>
          <w:b w:val="1"/>
          <w:bCs w:val="1"/>
          <w:rtl w:val="0"/>
        </w:rPr>
        <w:t xml:space="preserve">actual enrollment</w:t>
      </w:r>
      <w:r w:rsidDel="00000000" w:rsidR="00000000" w:rsidRPr="00000000">
        <w:rPr>
          <w:rtl w:val="0"/>
        </w:rPr>
        <w:t xml:space="preserve">, representing the number of participants, and </w:t>
      </w:r>
      <w:r w:rsidDel="00000000" w:rsidR="00000000" w:rsidRPr="00000000">
        <w:rPr>
          <w:b w:val="1"/>
          <w:bCs w:val="1"/>
          <w:rtl w:val="0"/>
        </w:rPr>
        <w:t xml:space="preserve">location count</w:t>
      </w:r>
      <w:r w:rsidDel="00000000" w:rsidR="00000000" w:rsidRPr="00000000">
        <w:rPr>
          <w:rtl w:val="0"/>
        </w:rPr>
        <w:t xml:space="preserve">, which indicates the number of trial locations, as logistical challenges associated with multiple locations could affect attrition rates. </w:t>
      </w:r>
      <w:r w:rsidDel="00000000" w:rsidR="00000000" w:rsidRPr="00000000">
        <w:rPr>
          <w:b w:val="1"/>
          <w:bCs w:val="1"/>
          <w:rtl w:val="0"/>
        </w:rPr>
        <w:t xml:space="preserve">Conditions</w:t>
      </w:r>
      <w:r w:rsidDel="00000000" w:rsidR="00000000" w:rsidRPr="00000000">
        <w:rPr>
          <w:rtl w:val="0"/>
        </w:rPr>
        <w:t xml:space="preserve">, despite having high variability, were categorized into broader groups to retain their predictive value. </w:t>
      </w:r>
      <w:r w:rsidDel="00000000" w:rsidR="00000000" w:rsidRPr="00000000">
        <w:rPr>
          <w:b w:val="1"/>
          <w:bCs w:val="1"/>
          <w:rtl w:val="0"/>
        </w:rPr>
        <w:t xml:space="preserve">Minimum age</w:t>
      </w:r>
      <w:r w:rsidDel="00000000" w:rsidR="00000000" w:rsidRPr="00000000">
        <w:rPr>
          <w:rtl w:val="0"/>
        </w:rPr>
        <w:t xml:space="preserve"> was converted to a numeric variable to represent the age eligibility of participants. Lastly, </w:t>
      </w:r>
      <w:r w:rsidDel="00000000" w:rsidR="00000000" w:rsidRPr="00000000">
        <w:rPr>
          <w:b w:val="1"/>
          <w:bCs w:val="1"/>
          <w:rtl w:val="0"/>
        </w:rPr>
        <w:t xml:space="preserve">adverse event count</w:t>
      </w:r>
      <w:r w:rsidDel="00000000" w:rsidR="00000000" w:rsidRPr="00000000">
        <w:rPr>
          <w:rtl w:val="0"/>
        </w:rPr>
        <w:t xml:space="preserve">, another numeric feature, was included as it reflects the number of reported adverse events, which could correlate with patient attrition.</w:t>
      </w:r>
    </w:p>
    <w:p w:rsidR="00000000" w:rsidDel="00000000" w:rsidP="00000000" w:rsidRDefault="00000000" w:rsidRPr="00000000" w14:paraId="0000003C">
      <w:pPr>
        <w:spacing w:after="240" w:before="240" w:lineRule="auto"/>
        <w:rPr/>
      </w:pPr>
      <w:r w:rsidDel="00000000" w:rsidR="00000000" w:rsidRPr="00000000">
        <w:rPr>
          <w:rtl w:val="0"/>
        </w:rPr>
        <w:t xml:space="preserve">By refining the feature selection process, we ensured that the chosen features were both meaningful and appropriately encoded, enabling the development of a robust predictive model.</w:t>
      </w:r>
    </w:p>
    <w:p w:rsidR="00000000" w:rsidDel="00000000" w:rsidP="00000000" w:rsidRDefault="00000000" w:rsidRPr="00000000" w14:paraId="0000003D">
      <w:pPr>
        <w:rPr/>
      </w:pPr>
      <w:r w:rsidDel="00000000" w:rsidR="00000000" w:rsidRPr="00000000">
        <w:rPr>
          <w:rtl w:val="0"/>
        </w:rPr>
      </w:r>
    </w:p>
    <w:tbl>
      <w:tblPr>
        <w:tblStyle w:val="Table2"/>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190"/>
        <w:gridCol w:w="5175"/>
        <w:tblGridChange w:id="0">
          <w:tblGrid>
            <w:gridCol w:w="2925"/>
            <w:gridCol w:w="2190"/>
            <w:gridCol w:w="517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Rule="auto"/>
              <w:rPr>
                <w:b w:val="1"/>
                <w:bCs w:val="1"/>
              </w:rPr>
            </w:pPr>
            <w:r w:rsidDel="00000000" w:rsidR="00000000" w:rsidRPr="00000000">
              <w:rPr>
                <w:b w:val="1"/>
                <w:bCs w:val="1"/>
                <w:rtl w:val="0"/>
              </w:rPr>
              <w:t xml:space="preserve">Feature Name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Rule="auto"/>
              <w:rPr>
                <w:b w:val="1"/>
                <w:bCs w:val="1"/>
              </w:rPr>
            </w:pPr>
            <w:r w:rsidDel="00000000" w:rsidR="00000000" w:rsidRPr="00000000">
              <w:rPr>
                <w:b w:val="1"/>
                <w:bCs w:val="1"/>
                <w:rtl w:val="0"/>
              </w:rPr>
              <w:t xml:space="preserve">Variable Type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Rule="auto"/>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Rule="auto"/>
              <w:rPr/>
            </w:pPr>
            <w:r w:rsidDel="00000000" w:rsidR="00000000" w:rsidRPr="00000000">
              <w:rPr>
                <w:rtl w:val="0"/>
              </w:rPr>
              <w:t xml:space="preserve">Organization 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Rule="auto"/>
              <w:rPr/>
            </w:pPr>
            <w:r w:rsidDel="00000000" w:rsidR="00000000" w:rsidRPr="00000000">
              <w:rPr>
                <w:rtl w:val="0"/>
              </w:rPr>
              <w:t xml:space="preserve">The class of the organization with which the study investigator is affiliated. </w:t>
              <w:br w:type="textWrapping"/>
              <w:t xml:space="preserve">Eight possible values: Academic, FED, Industry, Network, NIH, Other, Other Gov.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Rule="auto"/>
              <w:rPr/>
            </w:pPr>
            <w:r w:rsidDel="00000000" w:rsidR="00000000" w:rsidRPr="00000000">
              <w:rPr>
                <w:rtl w:val="0"/>
              </w:rPr>
              <w:t xml:space="preserve">The duration of the trial, in years. Calculated as the difference between the study start date and study completion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Rule="auto"/>
              <w:rPr/>
            </w:pPr>
            <w:r w:rsidDel="00000000" w:rsidR="00000000" w:rsidRPr="00000000">
              <w:rPr>
                <w:rtl w:val="0"/>
              </w:rPr>
              <w:t xml:space="preserve">Days Since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Rule="auto"/>
              <w:rPr/>
            </w:pPr>
            <w:r w:rsidDel="00000000" w:rsidR="00000000" w:rsidRPr="00000000">
              <w:rPr>
                <w:rtl w:val="0"/>
              </w:rPr>
              <w:t xml:space="preserve">The number of days since the start of the trial, calculated as the difference between today's date and the study start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Rule="auto"/>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Rule="auto"/>
              <w:rPr/>
            </w:pPr>
            <w:r w:rsidDel="00000000" w:rsidR="00000000" w:rsidRPr="00000000">
              <w:rPr>
                <w:rtl w:val="0"/>
              </w:rPr>
              <w:t xml:space="preserve">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Rule="auto"/>
              <w:rPr/>
            </w:pPr>
            <w:r w:rsidDel="00000000" w:rsidR="00000000" w:rsidRPr="00000000">
              <w:rPr>
                <w:rtl w:val="0"/>
              </w:rPr>
              <w:t xml:space="preserve">T</w:t>
            </w:r>
            <w:r w:rsidDel="00000000" w:rsidR="00000000" w:rsidRPr="00000000">
              <w:rPr>
                <w:rtl w:val="0"/>
              </w:rPr>
              <w:t xml:space="preserve">he numerical phase of the clinical trial. </w:t>
            </w:r>
          </w:p>
          <w:p w:rsidR="00000000" w:rsidDel="00000000" w:rsidP="00000000" w:rsidRDefault="00000000" w:rsidRPr="00000000" w14:paraId="0000004D">
            <w:pPr>
              <w:spacing w:after="0" w:lineRule="auto"/>
              <w:rPr/>
            </w:pPr>
            <w:r w:rsidDel="00000000" w:rsidR="00000000" w:rsidRPr="00000000">
              <w:rPr>
                <w:rtl w:val="0"/>
              </w:rPr>
              <w:t xml:space="preserve">Four possible values: Phase 1, Phase 2, Phase 3, Phase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Rule="auto"/>
              <w:rPr/>
            </w:pPr>
            <w:r w:rsidDel="00000000" w:rsidR="00000000" w:rsidRPr="00000000">
              <w:rPr>
                <w:rtl w:val="0"/>
              </w:rPr>
              <w:t xml:space="preserve">Primary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Rule="auto"/>
              <w:rPr/>
            </w:pPr>
            <w:r w:rsidDel="00000000" w:rsidR="00000000" w:rsidRPr="00000000">
              <w:rPr>
                <w:rtl w:val="0"/>
              </w:rPr>
              <w:t xml:space="preserve">The primary purpose of the study. </w:t>
            </w:r>
          </w:p>
          <w:p w:rsidR="00000000" w:rsidDel="00000000" w:rsidP="00000000" w:rsidRDefault="00000000" w:rsidRPr="00000000" w14:paraId="00000051">
            <w:pPr>
              <w:widowControl w:val="0"/>
              <w:spacing w:after="0" w:lineRule="auto"/>
              <w:rPr/>
            </w:pPr>
            <w:r w:rsidDel="00000000" w:rsidR="00000000" w:rsidRPr="00000000">
              <w:rPr>
                <w:rtl w:val="0"/>
              </w:rPr>
              <w:t xml:space="preserve">Eight possible values: Basic Science, Diagnostic, Health Services Research, Prevention, Screening, Supportive Care, Treatment,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Rule="auto"/>
              <w:rPr/>
            </w:pPr>
            <w:r w:rsidDel="00000000" w:rsidR="00000000" w:rsidRPr="00000000">
              <w:rPr>
                <w:rtl w:val="0"/>
              </w:rPr>
              <w:t xml:space="preserve">Actual Enrollment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Rule="auto"/>
              <w:rPr/>
            </w:pPr>
            <w:r w:rsidDel="00000000" w:rsidR="00000000" w:rsidRPr="00000000">
              <w:rPr>
                <w:rtl w:val="0"/>
              </w:rPr>
              <w:t xml:space="preserve">The actual total number of participants enrolled in the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Rule="auto"/>
              <w:rPr/>
            </w:pPr>
            <w:r w:rsidDel="00000000" w:rsidR="00000000" w:rsidRPr="00000000">
              <w:rPr>
                <w:rtl w:val="0"/>
              </w:rPr>
              <w:t xml:space="preserve">Location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Rule="auto"/>
              <w:rPr/>
            </w:pPr>
            <w:r w:rsidDel="00000000" w:rsidR="00000000" w:rsidRPr="00000000">
              <w:rPr>
                <w:rtl w:val="0"/>
              </w:rPr>
              <w:t xml:space="preserve">The number of study sites.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Rule="auto"/>
              <w:rPr/>
            </w:pPr>
            <w:r w:rsidDel="00000000" w:rsidR="00000000" w:rsidRPr="00000000">
              <w:rPr>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Rule="auto"/>
              <w:rPr/>
            </w:pPr>
            <w:r w:rsidDel="00000000" w:rsidR="00000000" w:rsidRPr="00000000">
              <w:rPr>
                <w:rtl w:val="0"/>
              </w:rPr>
              <w:t xml:space="preserve">The primary disease or condition being studied, or the focus of the clinical study. </w:t>
            </w:r>
          </w:p>
          <w:p w:rsidR="00000000" w:rsidDel="00000000" w:rsidP="00000000" w:rsidRDefault="00000000" w:rsidRPr="00000000" w14:paraId="0000005B">
            <w:pPr>
              <w:widowControl w:val="0"/>
              <w:spacing w:after="0" w:lineRule="auto"/>
              <w:rPr/>
            </w:pPr>
            <w:r w:rsidDel="00000000" w:rsidR="00000000" w:rsidRPr="00000000">
              <w:rPr>
                <w:rtl w:val="0"/>
              </w:rPr>
              <w:t xml:space="preserve">Six possible values: Cancer, Cardiovascular, Diabetes, Neurological, Respiratory,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Rule="auto"/>
              <w:rPr/>
            </w:pPr>
            <w:r w:rsidDel="00000000" w:rsidR="00000000" w:rsidRPr="00000000">
              <w:rPr>
                <w:rtl w:val="0"/>
              </w:rPr>
              <w:t xml:space="preserve">Minimum Eligibility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Rule="auto"/>
              <w:rPr/>
            </w:pPr>
            <w:r w:rsidDel="00000000" w:rsidR="00000000" w:rsidRPr="00000000">
              <w:rPr>
                <w:rtl w:val="0"/>
              </w:rPr>
              <w:t xml:space="preserve">The minimum age of potential participants eligible for the study, in years.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Rule="auto"/>
              <w:rPr/>
            </w:pPr>
            <w:r w:rsidDel="00000000" w:rsidR="00000000" w:rsidRPr="00000000">
              <w:rPr>
                <w:rtl w:val="0"/>
              </w:rPr>
              <w:t xml:space="preserve">Maximum Eligibility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Rule="auto"/>
              <w:rPr/>
            </w:pPr>
            <w:r w:rsidDel="00000000" w:rsidR="00000000" w:rsidRPr="00000000">
              <w:rPr>
                <w:rtl w:val="0"/>
              </w:rPr>
              <w:t xml:space="preserve">The maximum age of potential participants eligible for the study. </w:t>
            </w:r>
          </w:p>
          <w:p w:rsidR="00000000" w:rsidDel="00000000" w:rsidP="00000000" w:rsidRDefault="00000000" w:rsidRPr="00000000" w14:paraId="00000062">
            <w:pPr>
              <w:widowControl w:val="0"/>
              <w:spacing w:after="0" w:lineRule="auto"/>
              <w:rPr/>
            </w:pPr>
            <w:r w:rsidDel="00000000" w:rsidR="00000000" w:rsidRPr="00000000">
              <w:rPr>
                <w:rtl w:val="0"/>
              </w:rPr>
              <w:t xml:space="preserve">Two possible values: No bound, 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Rule="auto"/>
              <w:rPr/>
            </w:pPr>
            <w:r w:rsidDel="00000000" w:rsidR="00000000" w:rsidRPr="00000000">
              <w:rPr>
                <w:rtl w:val="0"/>
              </w:rPr>
              <w:t xml:space="preserve">Adverse Event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Rule="auto"/>
              <w:rPr/>
            </w:pPr>
            <w:r w:rsidDel="00000000" w:rsidR="00000000" w:rsidRPr="00000000">
              <w:rPr>
                <w:rtl w:val="0"/>
              </w:rPr>
              <w:t xml:space="preserve">The number of reported adverse events.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Rule="auto"/>
              <w:rPr>
                <w:b w:val="1"/>
                <w:bCs w:val="1"/>
              </w:rPr>
            </w:pPr>
            <w:r w:rsidDel="00000000" w:rsidR="00000000" w:rsidRPr="00000000">
              <w:rPr>
                <w:b w:val="1"/>
                <w:bCs w:val="1"/>
                <w:rtl w:val="0"/>
              </w:rPr>
              <w:t xml:space="preserve">Outcome Name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Rule="auto"/>
              <w:rPr>
                <w:b w:val="1"/>
                <w:bCs w:val="1"/>
              </w:rPr>
            </w:pPr>
            <w:r w:rsidDel="00000000" w:rsidR="00000000" w:rsidRPr="00000000">
              <w:rPr>
                <w:b w:val="1"/>
                <w:bCs w:val="1"/>
                <w:rtl w:val="0"/>
              </w:rPr>
              <w:t xml:space="preserve">Variable Type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Rule="auto"/>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Rule="auto"/>
              <w:rPr/>
            </w:pPr>
            <w:r w:rsidDel="00000000" w:rsidR="00000000" w:rsidRPr="00000000">
              <w:rPr>
                <w:rtl w:val="0"/>
              </w:rPr>
              <w:t xml:space="preserve">Attrition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Rule="auto"/>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Rule="auto"/>
              <w:rPr/>
            </w:pPr>
            <w:r w:rsidDel="00000000" w:rsidR="00000000" w:rsidRPr="00000000">
              <w:rPr>
                <w:rtl w:val="0"/>
              </w:rPr>
              <w:t xml:space="preserve">The reported attrition rate as a binary value, where 1=high attrition rate and 0=low attrition rate. The threshold was determined by the median attrition rate of the Clinical Trial dataset.</w:t>
            </w:r>
          </w:p>
        </w:tc>
      </w:tr>
    </w:tbl>
    <w:p w:rsidR="00000000" w:rsidDel="00000000" w:rsidP="00000000" w:rsidRDefault="00000000" w:rsidRPr="00000000" w14:paraId="0000006C">
      <w:pPr>
        <w:spacing w:after="0" w:line="276" w:lineRule="auto"/>
        <w:rPr/>
      </w:pPr>
      <w:r w:rsidDel="00000000" w:rsidR="00000000" w:rsidRPr="00000000">
        <w:rPr>
          <w:b w:val="1"/>
          <w:bCs w:val="1"/>
          <w:sz w:val="18"/>
          <w:szCs w:val="18"/>
          <w:rtl w:val="0"/>
        </w:rPr>
        <w:t xml:space="preserve">Table 2: Selected Features and Outcome for modeling. </w:t>
      </w:r>
      <w:r w:rsidDel="00000000" w:rsidR="00000000" w:rsidRPr="00000000">
        <w:rPr>
          <w:sz w:val="18"/>
          <w:szCs w:val="18"/>
          <w:rtl w:val="0"/>
        </w:rPr>
        <w:t xml:space="preserve">The features and outcome for our ML classification task were derived from the Clinical Trial dataset. This table summarizes how we encoded the values and the definition of each feature. </w:t>
      </w:r>
      <w:r w:rsidDel="00000000" w:rsidR="00000000" w:rsidRPr="00000000">
        <w:rPr>
          <w:rtl w:val="0"/>
        </w:rPr>
      </w:r>
    </w:p>
    <w:p w:rsidR="00000000" w:rsidDel="00000000" w:rsidP="00000000" w:rsidRDefault="00000000" w:rsidRPr="00000000" w14:paraId="0000006D">
      <w:pPr>
        <w:pStyle w:val="Heading2"/>
        <w:rPr>
          <w:rFonts w:ascii="Helvetica Neue" w:cs="Helvetica Neue" w:eastAsia="Helvetica Neue" w:hAnsi="Helvetica Neue"/>
          <w:u w:val="single"/>
        </w:rPr>
      </w:pPr>
      <w:bookmarkStart w:colFirst="0" w:colLast="0" w:name="_veeyiqazy68" w:id="11"/>
      <w:bookmarkEnd w:id="11"/>
      <w:r w:rsidDel="00000000" w:rsidR="00000000" w:rsidRPr="00000000">
        <w:rPr>
          <w:rFonts w:ascii="Helvetica Neue" w:cs="Helvetica Neue" w:eastAsia="Helvetica Neue" w:hAnsi="Helvetica Neue"/>
          <w:u w:val="single"/>
          <w:rtl w:val="0"/>
        </w:rPr>
        <w:t xml:space="preserve">3. Model Development</w:t>
      </w:r>
    </w:p>
    <w:p w:rsidR="00000000" w:rsidDel="00000000" w:rsidP="00000000" w:rsidRDefault="00000000" w:rsidRPr="00000000" w14:paraId="0000006E">
      <w:pPr>
        <w:ind w:left="0" w:firstLine="0"/>
        <w:rPr/>
      </w:pPr>
      <w:r w:rsidDel="00000000" w:rsidR="00000000" w:rsidRPr="00000000">
        <w:rPr>
          <w:rtl w:val="0"/>
        </w:rPr>
        <w:t xml:space="preserve">To develop and evaluate machine learning models predicting clinical attrition, we first divided the dataset into training and test sets using an </w:t>
      </w:r>
      <w:r w:rsidDel="00000000" w:rsidR="00000000" w:rsidRPr="00000000">
        <w:rPr>
          <w:b w:val="1"/>
          <w:bCs w:val="1"/>
          <w:rtl w:val="0"/>
        </w:rPr>
        <w:t xml:space="preserve">80/20 split</w:t>
      </w:r>
      <w:r w:rsidDel="00000000" w:rsidR="00000000" w:rsidRPr="00000000">
        <w:rPr>
          <w:rtl w:val="0"/>
        </w:rPr>
        <w:t xml:space="preserve">. This approach ensures that the model is trained on the majority of the data while retaining a portion for unbiased evaluation.</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b w:val="1"/>
          <w:bCs w:val="1"/>
        </w:rPr>
      </w:pPr>
      <w:r w:rsidDel="00000000" w:rsidR="00000000" w:rsidRPr="00000000">
        <w:rPr>
          <w:rtl w:val="0"/>
        </w:rPr>
        <w:t xml:space="preserve">T</w:t>
      </w:r>
      <w:r w:rsidDel="00000000" w:rsidR="00000000" w:rsidRPr="00000000">
        <w:rPr>
          <w:rtl w:val="0"/>
        </w:rPr>
        <w:t xml:space="preserve">he model classified attrition rates into either a high or low category based on the median attrition percentage. An attrition rate higher than the median was considered to be high and an attrition rate lower than the median was considered to be low. </w:t>
      </w:r>
      <w:r w:rsidDel="00000000" w:rsidR="00000000" w:rsidRPr="00000000">
        <w:rPr>
          <w:b w:val="1"/>
          <w:bCs w:val="1"/>
          <w:rtl w:val="0"/>
        </w:rPr>
        <w:t xml:space="preserve">For our data, the median attrition rate was 6.56%.</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We used three machine learning models to predict clinical attrition: logistic regression for its simplicity and interpretability, random forest for its ability to handle complex relationships and reduce overfitting, and support vector machines (SVM) for their effectiveness in distinguishing classes, particularly in high-dimensional spaces. </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By using multiple classifiers, we aimed to compare their performance and select the model best suited for predicting clinical attrition under the adjusted class definitions.</w:t>
      </w:r>
    </w:p>
    <w:p w:rsidR="00000000" w:rsidDel="00000000" w:rsidP="00000000" w:rsidRDefault="00000000" w:rsidRPr="00000000" w14:paraId="00000075">
      <w:pPr>
        <w:pStyle w:val="Heading2"/>
        <w:rPr/>
      </w:pPr>
      <w:bookmarkStart w:colFirst="0" w:colLast="0" w:name="_f17xabxg6amn" w:id="12"/>
      <w:bookmarkEnd w:id="12"/>
      <w:r w:rsidDel="00000000" w:rsidR="00000000" w:rsidRPr="00000000">
        <w:rPr>
          <w:rFonts w:ascii="Helvetica Neue" w:cs="Helvetica Neue" w:eastAsia="Helvetica Neue" w:hAnsi="Helvetica Neue"/>
          <w:u w:val="single"/>
          <w:rtl w:val="0"/>
        </w:rPr>
        <w:t xml:space="preserve">4. Model Evaluation</w:t>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As our model sought to classify attrition rate into one of two categories, we used the following metrics to evaluate our models: accuracy, precision, recall, F1 score, and AUC-ROC. Our metrics are defined below:</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b w:val="1"/>
          <w:bCs w:val="1"/>
          <w:rtl w:val="0"/>
        </w:rPr>
        <w:t xml:space="preserve">Accuracy: </w:t>
      </w:r>
      <w:r w:rsidDel="00000000" w:rsidR="00000000" w:rsidRPr="00000000">
        <w:rPr>
          <w:rtl w:val="0"/>
        </w:rPr>
        <w:t xml:space="preserve">The overall proportion of correct predictions.</w:t>
      </w:r>
    </w:p>
    <w:p w:rsidR="00000000" w:rsidDel="00000000" w:rsidP="00000000" w:rsidRDefault="00000000" w:rsidRPr="00000000" w14:paraId="00000079">
      <w:pPr>
        <w:ind w:left="0" w:firstLine="0"/>
        <w:rPr/>
      </w:pPr>
      <w:r w:rsidDel="00000000" w:rsidR="00000000" w:rsidRPr="00000000">
        <w:rPr>
          <w:b w:val="1"/>
          <w:bCs w:val="1"/>
          <w:rtl w:val="0"/>
        </w:rPr>
        <w:t xml:space="preserve">Precision: </w:t>
      </w:r>
      <w:r w:rsidDel="00000000" w:rsidR="00000000" w:rsidRPr="00000000">
        <w:rPr>
          <w:rtl w:val="0"/>
        </w:rPr>
        <w:t xml:space="preserve">The proportion of true positives among all positive predictions.</w:t>
      </w:r>
    </w:p>
    <w:p w:rsidR="00000000" w:rsidDel="00000000" w:rsidP="00000000" w:rsidRDefault="00000000" w:rsidRPr="00000000" w14:paraId="0000007A">
      <w:pPr>
        <w:ind w:left="0" w:firstLine="0"/>
        <w:rPr/>
      </w:pPr>
      <w:r w:rsidDel="00000000" w:rsidR="00000000" w:rsidRPr="00000000">
        <w:rPr>
          <w:b w:val="1"/>
          <w:bCs w:val="1"/>
          <w:rtl w:val="0"/>
        </w:rPr>
        <w:t xml:space="preserve">Recall: </w:t>
      </w:r>
      <w:r w:rsidDel="00000000" w:rsidR="00000000" w:rsidRPr="00000000">
        <w:rPr>
          <w:rtl w:val="0"/>
        </w:rPr>
        <w:t xml:space="preserve">The proportion of true positives among all actual positives. </w:t>
      </w:r>
    </w:p>
    <w:p w:rsidR="00000000" w:rsidDel="00000000" w:rsidP="00000000" w:rsidRDefault="00000000" w:rsidRPr="00000000" w14:paraId="0000007B">
      <w:pPr>
        <w:ind w:left="0" w:firstLine="0"/>
        <w:rPr/>
      </w:pPr>
      <w:r w:rsidDel="00000000" w:rsidR="00000000" w:rsidRPr="00000000">
        <w:rPr>
          <w:b w:val="1"/>
          <w:bCs w:val="1"/>
          <w:rtl w:val="0"/>
        </w:rPr>
        <w:t xml:space="preserve">F1 Score</w:t>
      </w:r>
      <w:r w:rsidDel="00000000" w:rsidR="00000000" w:rsidRPr="00000000">
        <w:rPr>
          <w:rtl w:val="0"/>
        </w:rPr>
        <w:t xml:space="preserve">: The harmonic mean of precision and recall. </w:t>
      </w:r>
    </w:p>
    <w:p w:rsidR="00000000" w:rsidDel="00000000" w:rsidP="00000000" w:rsidRDefault="00000000" w:rsidRPr="00000000" w14:paraId="0000007C">
      <w:pPr>
        <w:ind w:left="0" w:firstLine="0"/>
        <w:rPr/>
      </w:pPr>
      <w:r w:rsidDel="00000000" w:rsidR="00000000" w:rsidRPr="00000000">
        <w:rPr>
          <w:b w:val="1"/>
          <w:bCs w:val="1"/>
          <w:rtl w:val="0"/>
        </w:rPr>
        <w:t xml:space="preserve">AUC-ROC</w:t>
      </w:r>
      <w:r w:rsidDel="00000000" w:rsidR="00000000" w:rsidRPr="00000000">
        <w:rPr>
          <w:rtl w:val="0"/>
        </w:rPr>
        <w:t xml:space="preserve">: The area under the receiver operating characteristic curve, which measures the classifier’s ability to distinguish between high and low attrition.</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While there is room for improvement when it comes to the results of our models, the random forest model best classified attrition rate based on our chosen features. It had fairly consistent accuracy, recall, and precision scores. This led to the highest AUC-ROC score of our models at 0.768. This may be because it can model complex interactions between variables such as trial duration, enrollment, and adverse events, which are often correlated.</w:t>
      </w:r>
    </w:p>
    <w:p w:rsidR="00000000" w:rsidDel="00000000" w:rsidP="00000000" w:rsidRDefault="00000000" w:rsidRPr="00000000" w14:paraId="0000007F">
      <w:pPr>
        <w:ind w:left="0" w:firstLine="0"/>
        <w:rPr/>
      </w:pPr>
      <w:r w:rsidDel="00000000" w:rsidR="00000000" w:rsidRPr="00000000">
        <w:rPr>
          <w:rtl w:val="0"/>
        </w:rPr>
        <w:t xml:space="preserve">The logistic regression model was the next best predictor of attrition rate but had lower accuracy, precision, and recall scores. This led to a poorer performance and a lower AUC-ROC. Finally, the support vector machine model performed the worst of the three models. While the model had the highest recall of the three models, it had the worst accuracy and precision. This means the model did not correctly predict most attrition rates. </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Feature performance in our models were also evaluated. The most important feature in predicting attrition rate was actual enrollment, followed closely by days since start and number of locations. </w:t>
      </w:r>
    </w:p>
    <w:p w:rsidR="00000000" w:rsidDel="00000000" w:rsidP="00000000" w:rsidRDefault="00000000" w:rsidRPr="00000000" w14:paraId="00000082">
      <w:pPr>
        <w:pStyle w:val="Heading2"/>
        <w:rPr/>
      </w:pPr>
      <w:bookmarkStart w:colFirst="0" w:colLast="0" w:name="_rdxowp40vrcl" w:id="13"/>
      <w:bookmarkEnd w:id="13"/>
      <w:r w:rsidDel="00000000" w:rsidR="00000000" w:rsidRPr="00000000">
        <w:rPr>
          <w:rtl w:val="0"/>
        </w:rPr>
        <w:t xml:space="preserve">5. Mapping</w:t>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A secondary aim of this analysis was to map facilities participating in clinical trials with their corresponding attrition rate. We initially planned to map every facility, but after querying every NCT ID, there were over 66,000 locations. To continue with this aim in a meaningful way, we limited which trials we queried by enrollment. Only trials with 2,000 or more people enrolled were queried for their corresponding locations in order to make attrition rate more meaningful. By only including larger trials, we avoided trials where one or two people dropping out would drastically increase the attrition rate. For example, a trial with 10 patients would be significantly affected by the loss of one patient (10% attrition rate). Additionally, since some clinical trials have hundreds of locations available, we limited the amount of locations included for each NCT ID to 10. Our code randomly selected 10 locations from each NCT ID that had an actual enrollment of over 2,000 individuals. This resulted in a dataset with 4 columns: NCT ID, latitude, longitude, and attrition rate. </w:t>
      </w:r>
    </w:p>
    <w:p w:rsidR="00000000" w:rsidDel="00000000" w:rsidP="00000000" w:rsidRDefault="00000000" w:rsidRPr="00000000" w14:paraId="00000084">
      <w:pPr>
        <w:ind w:left="0" w:firstLine="0"/>
        <w:rPr/>
      </w:pPr>
      <w:r w:rsidDel="00000000" w:rsidR="00000000" w:rsidRPr="00000000">
        <w:rPr>
          <w:rtl w:val="0"/>
        </w:rPr>
        <w:br w:type="textWrapping"/>
        <w:t xml:space="preserve">Once our dataset was constructed, mapping could begin. Utilizing the folium and branca packages in python, two heat maps were created. They were classified by high and low attrition rate. Low attrition rate was defined as less than 10% and high attrition rate was classified as 10% or more. Red markers signified areas of high attrition rate and green markers signified areas of low attrition rate. </w:t>
      </w:r>
      <w:r w:rsidDel="00000000" w:rsidR="00000000" w:rsidRPr="00000000">
        <w:rPr>
          <w:rtl w:val="0"/>
        </w:rPr>
      </w:r>
    </w:p>
    <w:p w:rsidR="00000000" w:rsidDel="00000000" w:rsidP="00000000" w:rsidRDefault="00000000" w:rsidRPr="00000000" w14:paraId="00000085">
      <w:pPr>
        <w:pStyle w:val="Heading1"/>
        <w:rPr/>
      </w:pPr>
      <w:bookmarkStart w:colFirst="0" w:colLast="0" w:name="_cn0n30cbrccb" w:id="14"/>
      <w:bookmarkEnd w:id="14"/>
      <w:r w:rsidDel="00000000" w:rsidR="00000000" w:rsidRPr="00000000">
        <w:rPr>
          <w:rtl w:val="0"/>
        </w:rPr>
      </w:r>
    </w:p>
    <w:p w:rsidR="00000000" w:rsidDel="00000000" w:rsidP="00000000" w:rsidRDefault="00000000" w:rsidRPr="00000000" w14:paraId="00000086">
      <w:pPr>
        <w:pStyle w:val="Heading1"/>
        <w:rPr>
          <w:rFonts w:ascii="Helvetica Neue" w:cs="Helvetica Neue" w:eastAsia="Helvetica Neue" w:hAnsi="Helvetica Neue"/>
        </w:rPr>
      </w:pPr>
      <w:bookmarkStart w:colFirst="0" w:colLast="0" w:name="_1jsv574p65xx" w:id="15"/>
      <w:bookmarkEnd w:id="15"/>
      <w:r w:rsidDel="00000000" w:rsidR="00000000" w:rsidRPr="00000000">
        <w:rPr>
          <w:rFonts w:ascii="Helvetica Neue" w:cs="Helvetica Neue" w:eastAsia="Helvetica Neue" w:hAnsi="Helvetica Neue"/>
          <w:rtl w:val="0"/>
        </w:rPr>
        <w:t xml:space="preserve">Results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8">
      <w:pPr>
        <w:ind w:left="0" w:firstLine="0"/>
        <w:rPr>
          <w:rFonts w:ascii="Helvetica Neue" w:cs="Helvetica Neue" w:eastAsia="Helvetica Neue" w:hAnsi="Helvetica Neue"/>
        </w:rPr>
      </w:pPr>
      <w:r w:rsidDel="00000000" w:rsidR="00000000" w:rsidRPr="00000000">
        <w:rPr>
          <w:b w:val="1"/>
          <w:bCs w:val="1"/>
          <w:rtl w:val="0"/>
        </w:rPr>
        <w:t xml:space="preserve">Aim</w:t>
      </w:r>
      <w:r w:rsidDel="00000000" w:rsidR="00000000" w:rsidRPr="00000000">
        <w:rPr>
          <w:rFonts w:ascii="Helvetica Neue" w:cs="Helvetica Neue" w:eastAsia="Helvetica Neue" w:hAnsi="Helvetica Neue"/>
          <w:b w:val="1"/>
          <w:bCs w:val="1"/>
          <w:rtl w:val="0"/>
        </w:rPr>
        <w:t xml:space="preserve"> 1: </w:t>
      </w:r>
      <w:r w:rsidDel="00000000" w:rsidR="00000000" w:rsidRPr="00000000">
        <w:rPr>
          <w:rtl w:val="0"/>
        </w:rPr>
        <w:t xml:space="preserve">Develop a machine learning model to predict the percentage of patients attrition in the clinical trials.</w:t>
      </w: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365"/>
        <w:gridCol w:w="1455"/>
        <w:gridCol w:w="1635"/>
        <w:gridCol w:w="1605"/>
        <w:gridCol w:w="1725"/>
        <w:tblGridChange w:id="0">
          <w:tblGrid>
            <w:gridCol w:w="3015"/>
            <w:gridCol w:w="1365"/>
            <w:gridCol w:w="1455"/>
            <w:gridCol w:w="1635"/>
            <w:gridCol w:w="1605"/>
            <w:gridCol w:w="17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Algorithm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Accuracy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Recall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Precision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AUC-ROC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 Vector Machine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0.634</w:t>
            </w:r>
          </w:p>
        </w:tc>
      </w:tr>
    </w:tbl>
    <w:p w:rsidR="00000000" w:rsidDel="00000000" w:rsidP="00000000" w:rsidRDefault="00000000" w:rsidRPr="00000000" w14:paraId="000000A2">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Table 2: Performance metrics for each model. </w:t>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rFonts w:ascii="Helvetica Neue" w:cs="Helvetica Neue" w:eastAsia="Helvetica Neue" w:hAnsi="Helvetica Neue"/>
        </w:rPr>
      </w:pPr>
      <w:r w:rsidDel="00000000" w:rsidR="00000000" w:rsidRPr="00000000">
        <w:rPr>
          <w:b w:val="1"/>
          <w:bCs w:val="1"/>
          <w:rtl w:val="0"/>
        </w:rPr>
        <w:t xml:space="preserve">Aim</w:t>
      </w:r>
      <w:r w:rsidDel="00000000" w:rsidR="00000000" w:rsidRPr="00000000">
        <w:rPr>
          <w:rFonts w:ascii="Helvetica Neue" w:cs="Helvetica Neue" w:eastAsia="Helvetica Neue" w:hAnsi="Helvetica Neue"/>
          <w:b w:val="1"/>
          <w:bCs w:val="1"/>
          <w:rtl w:val="0"/>
        </w:rPr>
        <w:t xml:space="preserve"> 2: </w:t>
      </w:r>
      <w:r w:rsidDel="00000000" w:rsidR="00000000" w:rsidRPr="00000000">
        <w:rPr>
          <w:rtl w:val="0"/>
        </w:rPr>
        <w:t xml:space="preserve">Map the facilities of each clinical trial by zip code to understand geographic patterns in attrition.</w:t>
      </w:r>
      <w:r w:rsidDel="00000000" w:rsidR="00000000" w:rsidRPr="00000000">
        <w:rPr>
          <w:rtl w:val="0"/>
        </w:rPr>
      </w:r>
    </w:p>
    <w:p w:rsidR="00000000" w:rsidDel="00000000" w:rsidP="00000000" w:rsidRDefault="00000000" w:rsidRPr="00000000" w14:paraId="000000A6">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The low attrition rate dataset contained 495 locations from 58 different unique studies. The minimum attrition rate for this set was 0.116 and the maximum attrition rate was 9.80. When mapped, there were areas of high trial density on the majority of the east coast of the United states, California, Europe, east Asia. </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The high attrition rate dataset contained 285 locations from 30 unique studies. The minimum attrition rate for this set was 10.08 and the maximum attrition rate was 35.84. The mapping of these locations and their rates resulted in areas of high density in nearly the entire east half of the United States, central Europe, and parts of South America. Some notably high attrition rates occurred in Los Angeles, California, New Jersey, and Saint Petersburg, Florida. This map displayed a much wider range of attrition rates. </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While it is difficult to make generalizations about entire areas’ attrition rates based on the two heat maps that were constructed, it makes it clear to see where large clinical trials are being conducted. Facilities in the US and Europe have the most abundance of clinical trials in this enrollment group, whereas most of Africa and Asia have only a few. This is worthy to note as it could inform future research and prevent bias. </w:t>
      </w:r>
    </w:p>
    <w:p w:rsidR="00000000" w:rsidDel="00000000" w:rsidP="00000000" w:rsidRDefault="00000000" w:rsidRPr="00000000" w14:paraId="000000A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D">
      <w:pPr>
        <w:pStyle w:val="Heading1"/>
        <w:rPr>
          <w:rFonts w:ascii="Helvetica Neue" w:cs="Helvetica Neue" w:eastAsia="Helvetica Neue" w:hAnsi="Helvetica Neue"/>
        </w:rPr>
      </w:pPr>
      <w:bookmarkStart w:colFirst="0" w:colLast="0" w:name="_svusi0337sv5" w:id="16"/>
      <w:bookmarkEnd w:id="16"/>
      <w:r w:rsidDel="00000000" w:rsidR="00000000" w:rsidRPr="00000000">
        <w:rPr>
          <w:rFonts w:ascii="Helvetica Neue" w:cs="Helvetica Neue" w:eastAsia="Helvetica Neue" w:hAnsi="Helvetica Neue"/>
          <w:rtl w:val="0"/>
        </w:rPr>
        <w:t xml:space="preserve">Discussion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The analysis conducted in this study aimed to identify key factors that contribute to patient attrition in clinical trials and explore how machine learning classification techniques can be used to predict low or high patient attrition. Using publicly available data from ClinicalTrials.gov, we developed and evaluated three machine learning models to predict attrition and created visualizations to highlight geographic patterns in trial site attrition. While these preliminary results are promising, they also pointed to several areas for improvement and further work.</w:t>
      </w:r>
    </w:p>
    <w:p w:rsidR="00000000" w:rsidDel="00000000" w:rsidP="00000000" w:rsidRDefault="00000000" w:rsidRPr="00000000" w14:paraId="000000AF">
      <w:pPr>
        <w:pStyle w:val="Heading2"/>
        <w:rPr/>
      </w:pPr>
      <w:bookmarkStart w:colFirst="0" w:colLast="0" w:name="_5tnjujkrkk5o" w:id="17"/>
      <w:bookmarkEnd w:id="17"/>
      <w:r w:rsidDel="00000000" w:rsidR="00000000" w:rsidRPr="00000000">
        <w:rPr>
          <w:rtl w:val="0"/>
        </w:rPr>
        <w:t xml:space="preserve">Key Findings:</w:t>
      </w:r>
    </w:p>
    <w:p w:rsidR="00000000" w:rsidDel="00000000" w:rsidP="00000000" w:rsidRDefault="00000000" w:rsidRPr="00000000" w14:paraId="000000B0">
      <w:pPr>
        <w:numPr>
          <w:ilvl w:val="0"/>
          <w:numId w:val="4"/>
        </w:numPr>
        <w:spacing w:after="0" w:afterAutospacing="0"/>
        <w:ind w:left="720" w:hanging="360"/>
        <w:rPr>
          <w:b w:val="1"/>
          <w:bCs w:val="1"/>
          <w:u w:val="none"/>
        </w:rPr>
      </w:pPr>
      <w:r w:rsidDel="00000000" w:rsidR="00000000" w:rsidRPr="00000000">
        <w:rPr>
          <w:b w:val="1"/>
          <w:bCs w:val="1"/>
          <w:rtl w:val="0"/>
        </w:rPr>
        <w:t xml:space="preserve">Random Forest model best predicts attrition. </w:t>
      </w:r>
      <w:r w:rsidDel="00000000" w:rsidR="00000000" w:rsidRPr="00000000">
        <w:rPr>
          <w:rtl w:val="0"/>
        </w:rPr>
        <w:t xml:space="preserve">Among the three machine learning models—logistic regression, random forest, and support vector machine (SVM)—the random forest model outperformed the other classifiers. This success can be attributed to the model's ability to capture complex interactions between variables such as trial duration, enrollment size, adverse event counts, and number of locations, which are likely interrelated in influencing patient attrition. In contrast, the logistic regression model had lower performance, particularly in precision and recall, suggesting that its simpler assumptions did not capture the intricacies of the dataset as well as the random forest model. The SVM model, while performing well in recall, struggled with both precision and accuracy, which indicates that it was not distinguishing between the two classes (high and low attrition) effectively.</w:t>
      </w:r>
    </w:p>
    <w:p w:rsidR="00000000" w:rsidDel="00000000" w:rsidP="00000000" w:rsidRDefault="00000000" w:rsidRPr="00000000" w14:paraId="000000B1">
      <w:pPr>
        <w:numPr>
          <w:ilvl w:val="0"/>
          <w:numId w:val="4"/>
        </w:numPr>
        <w:spacing w:after="0" w:afterAutospacing="0"/>
        <w:ind w:left="720" w:hanging="360"/>
        <w:rPr>
          <w:b w:val="1"/>
          <w:bCs w:val="1"/>
        </w:rPr>
      </w:pPr>
      <w:r w:rsidDel="00000000" w:rsidR="00000000" w:rsidRPr="00000000">
        <w:rPr>
          <w:b w:val="1"/>
          <w:bCs w:val="1"/>
          <w:rtl w:val="0"/>
        </w:rPr>
        <w:t xml:space="preserve">Enrollment, Days Since Start, and Location influence attrition. </w:t>
      </w:r>
      <w:r w:rsidDel="00000000" w:rsidR="00000000" w:rsidRPr="00000000">
        <w:rPr>
          <w:rtl w:val="0"/>
        </w:rPr>
        <w:t xml:space="preserve">Our feature importance analysis revealed that actual enrollment, days since start, and location count were the most influential predictors of patient attrition. Larger trials, which tend to have higher enrollment numbers, may have more consistent attrition patterns, perhaps due to logistical complexities associated with managing larger participant pools. Trials that have been running for longer periods (indicated by days since start) may also have higher attrition rates, likely reflecting the increased patient burden and the possibility of participants dropping out due to fatigue or changing health circumstances. Interestingly, the number of trial locations was another critical factor—multiple locations may contribute to logistical challenges, such as inconsistent quality of care, lack of follow-up, and travel burdens, all of which can increase attrition. </w:t>
      </w:r>
    </w:p>
    <w:p w:rsidR="00000000" w:rsidDel="00000000" w:rsidP="00000000" w:rsidRDefault="00000000" w:rsidRPr="00000000" w14:paraId="000000B2">
      <w:pPr>
        <w:numPr>
          <w:ilvl w:val="0"/>
          <w:numId w:val="4"/>
        </w:numPr>
        <w:ind w:left="720" w:hanging="360"/>
        <w:rPr>
          <w:b w:val="1"/>
          <w:bCs w:val="1"/>
        </w:rPr>
      </w:pPr>
      <w:r w:rsidDel="00000000" w:rsidR="00000000" w:rsidRPr="00000000">
        <w:rPr>
          <w:b w:val="1"/>
          <w:bCs w:val="1"/>
          <w:rtl w:val="0"/>
        </w:rPr>
        <w:t xml:space="preserve">Geomapping may provide key insights into attrition patterns. </w:t>
      </w:r>
      <w:r w:rsidDel="00000000" w:rsidR="00000000" w:rsidRPr="00000000">
        <w:rPr>
          <w:rtl w:val="0"/>
        </w:rPr>
        <w:t xml:space="preserve">Our secondary aim was to map clinical trial sites and create a heat map based on the density of trial sites and the attrition at each site. By demonstrating that mapping trials in this way is possible, we establish an approach for understanding geographic patterns of attrition in future studies.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keepNext w:val="0"/>
        <w:keepLines w:val="0"/>
        <w:spacing w:after="40" w:before="240" w:lineRule="auto"/>
        <w:rPr/>
      </w:pPr>
      <w:bookmarkStart w:colFirst="0" w:colLast="0" w:name="_atrj0l7jm4nu" w:id="18"/>
      <w:bookmarkEnd w:id="18"/>
      <w:r w:rsidDel="00000000" w:rsidR="00000000" w:rsidRPr="00000000">
        <w:rPr>
          <w:rtl w:val="0"/>
        </w:rPr>
        <w:t xml:space="preserve">Limitations and Future Research</w:t>
      </w:r>
    </w:p>
    <w:p w:rsidR="00000000" w:rsidDel="00000000" w:rsidP="00000000" w:rsidRDefault="00000000" w:rsidRPr="00000000" w14:paraId="000000B5">
      <w:pPr>
        <w:spacing w:after="240" w:before="240" w:lineRule="auto"/>
        <w:rPr/>
      </w:pPr>
      <w:r w:rsidDel="00000000" w:rsidR="00000000" w:rsidRPr="00000000">
        <w:rPr>
          <w:rtl w:val="0"/>
        </w:rPr>
        <w:t xml:space="preserve">While this study provides valuable insights into the factors influencing patient attrition, it also has several limitations. </w:t>
      </w:r>
    </w:p>
    <w:p w:rsidR="00000000" w:rsidDel="00000000" w:rsidP="00000000" w:rsidRDefault="00000000" w:rsidRPr="00000000" w14:paraId="000000B6">
      <w:pPr>
        <w:spacing w:after="240" w:before="240" w:lineRule="auto"/>
        <w:rPr/>
      </w:pPr>
      <w:r w:rsidDel="00000000" w:rsidR="00000000" w:rsidRPr="00000000">
        <w:rPr>
          <w:rtl w:val="0"/>
        </w:rPr>
        <w:t xml:space="preserve">First, the use of publicly available data limits our ability to control for certain confounding variables that may influence attrition but were not captured in the data, such as individual patient characteristics or real-time clinical factors. Although we included a broad range of trial-related features, there may be other unobserved factors, such as the quality of patient-clinician relationships or the nature of the treatment being tested, which could also play a significant role in patient dropout rates.</w:t>
      </w:r>
    </w:p>
    <w:p w:rsidR="00000000" w:rsidDel="00000000" w:rsidP="00000000" w:rsidRDefault="00000000" w:rsidRPr="00000000" w14:paraId="000000B7">
      <w:pPr>
        <w:spacing w:after="240" w:before="240" w:lineRule="auto"/>
        <w:rPr/>
      </w:pPr>
      <w:r w:rsidDel="00000000" w:rsidR="00000000" w:rsidRPr="00000000">
        <w:rPr>
          <w:rtl w:val="0"/>
        </w:rPr>
        <w:t xml:space="preserve">Second, our models were evaluated using binary classification (high vs. low attrition) based on a median split of the attrition percentage, which may oversimplify the prediction task. Future studies could explore continuous prediction models that forecast the actual attrition percentage rather than a binary outcome. This would provide more granular insights into the factors that contribute to varying levels of attrition.</w:t>
      </w:r>
    </w:p>
    <w:p w:rsidR="00000000" w:rsidDel="00000000" w:rsidP="00000000" w:rsidRDefault="00000000" w:rsidRPr="00000000" w14:paraId="000000B8">
      <w:pPr>
        <w:spacing w:after="240" w:before="240" w:lineRule="auto"/>
        <w:rPr/>
      </w:pPr>
      <w:r w:rsidDel="00000000" w:rsidR="00000000" w:rsidRPr="00000000">
        <w:rPr>
          <w:rtl w:val="0"/>
        </w:rPr>
        <w:t xml:space="preserve">Third, while the geographic mapping of trial sites with high and low attrition rates was useful for identifying patterns, it was constrained by the decision to only include larger trials with more than 2,000 participants and limit the number of trial sites to 10 per NCT ID. Future work could expand the geographic analysis by including smaller trials and considering additional factors like socioeconomic status and healthcare infrastructure, which may influence patient retention in different regions.</w:t>
      </w:r>
    </w:p>
    <w:p w:rsidR="00000000" w:rsidDel="00000000" w:rsidP="00000000" w:rsidRDefault="00000000" w:rsidRPr="00000000" w14:paraId="000000B9">
      <w:pPr>
        <w:spacing w:after="240" w:before="240" w:lineRule="auto"/>
        <w:rPr/>
      </w:pPr>
      <w:r w:rsidDel="00000000" w:rsidR="00000000" w:rsidRPr="00000000">
        <w:rPr>
          <w:rtl w:val="0"/>
        </w:rPr>
        <w:t xml:space="preserve">Lastly, the generalizability of our results is limited by the specific dataset used (ClinicalTrials.gov), which may not represent all clinical trials globally. Future research could integrate data from other sources or conduct prospective studies to validate and refine the models developed here.</w:t>
      </w:r>
    </w:p>
    <w:p w:rsidR="00000000" w:rsidDel="00000000" w:rsidP="00000000" w:rsidRDefault="00000000" w:rsidRPr="00000000" w14:paraId="000000BA">
      <w:pPr>
        <w:pStyle w:val="Heading2"/>
        <w:keepNext w:val="0"/>
        <w:keepLines w:val="0"/>
        <w:spacing w:after="40" w:before="240" w:lineRule="auto"/>
        <w:rPr/>
      </w:pPr>
      <w:bookmarkStart w:colFirst="0" w:colLast="0" w:name="_fpfm4yfo1271" w:id="19"/>
      <w:bookmarkEnd w:id="19"/>
      <w:r w:rsidDel="00000000" w:rsidR="00000000" w:rsidRPr="00000000">
        <w:rPr>
          <w:rtl w:val="0"/>
        </w:rPr>
        <w:t xml:space="preserve">Conclusions</w:t>
      </w:r>
    </w:p>
    <w:p w:rsidR="00000000" w:rsidDel="00000000" w:rsidP="00000000" w:rsidRDefault="00000000" w:rsidRPr="00000000" w14:paraId="000000BB">
      <w:pPr>
        <w:spacing w:after="240" w:before="240" w:lineRule="auto"/>
        <w:rPr/>
      </w:pPr>
      <w:r w:rsidDel="00000000" w:rsidR="00000000" w:rsidRPr="00000000">
        <w:rPr>
          <w:rtl w:val="0"/>
        </w:rPr>
        <w:t xml:space="preserve">This study demonstrates the potential of machine learning in predicting patient attrition in clinical trials. The random forest model, in particular, performed well in classifying attrition, highlighting the relevance of features like trial size, duration, and location. Geographic mapping of attrition rates revealed patterns that may help inform trial design and improve patient retention strategies. Despite some limitations, our findings contribute valuable insights into the complex factors influencing attrition in clinical trials and offer a foundation for further research in this area. </w:t>
      </w:r>
    </w:p>
    <w:p w:rsidR="00000000" w:rsidDel="00000000" w:rsidP="00000000" w:rsidRDefault="00000000" w:rsidRPr="00000000" w14:paraId="000000BC">
      <w:pPr>
        <w:pStyle w:val="Heading1"/>
        <w:rPr/>
      </w:pPr>
      <w:bookmarkStart w:colFirst="0" w:colLast="0" w:name="_219j7dj6z68u" w:id="20"/>
      <w:bookmarkEnd w:id="20"/>
      <w:r w:rsidDel="00000000" w:rsidR="00000000" w:rsidRPr="00000000">
        <w:rPr>
          <w:rtl w:val="0"/>
        </w:rPr>
      </w:r>
    </w:p>
    <w:p w:rsidR="00000000" w:rsidDel="00000000" w:rsidP="00000000" w:rsidRDefault="00000000" w:rsidRPr="00000000" w14:paraId="000000BD">
      <w:pPr>
        <w:pStyle w:val="Heading1"/>
        <w:rPr/>
      </w:pPr>
      <w:bookmarkStart w:colFirst="0" w:colLast="0" w:name="_ktxce3om3vhs" w:id="21"/>
      <w:bookmarkEnd w:id="21"/>
      <w:r w:rsidDel="00000000" w:rsidR="00000000" w:rsidRPr="00000000">
        <w:rPr>
          <w:rtl w:val="0"/>
        </w:rPr>
        <w:t xml:space="preserve">Data Availability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datasets and notebooks are available on Canvas. There are three notebooks:</w:t>
      </w:r>
    </w:p>
    <w:p w:rsidR="00000000" w:rsidDel="00000000" w:rsidP="00000000" w:rsidRDefault="00000000" w:rsidRPr="00000000" w14:paraId="000000BF">
      <w:pPr>
        <w:numPr>
          <w:ilvl w:val="0"/>
          <w:numId w:val="2"/>
        </w:numPr>
        <w:spacing w:after="0" w:afterAutospacing="0"/>
        <w:ind w:left="720" w:hanging="360"/>
        <w:rPr>
          <w:u w:val="none"/>
        </w:rPr>
      </w:pPr>
      <w:r w:rsidDel="00000000" w:rsidR="00000000" w:rsidRPr="00000000">
        <w:rPr>
          <w:b w:val="1"/>
          <w:bCs w:val="1"/>
          <w:rtl w:val="0"/>
        </w:rPr>
        <w:t xml:space="preserve">01_Build_CT_Dataset.ipynb</w:t>
      </w:r>
      <w:r w:rsidDel="00000000" w:rsidR="00000000" w:rsidRPr="00000000">
        <w:rPr>
          <w:rtl w:val="0"/>
        </w:rPr>
        <w:t xml:space="preserve"> –integrates the attrition dataset and RUCA dataset, and calls the ClinicalTrials.gov API to get features.</w:t>
      </w:r>
    </w:p>
    <w:p w:rsidR="00000000" w:rsidDel="00000000" w:rsidP="00000000" w:rsidRDefault="00000000" w:rsidRPr="00000000" w14:paraId="000000C0">
      <w:pPr>
        <w:numPr>
          <w:ilvl w:val="0"/>
          <w:numId w:val="2"/>
        </w:numPr>
        <w:spacing w:after="0" w:afterAutospacing="0"/>
        <w:ind w:left="720" w:hanging="360"/>
        <w:rPr>
          <w:u w:val="none"/>
        </w:rPr>
      </w:pPr>
      <w:r w:rsidDel="00000000" w:rsidR="00000000" w:rsidRPr="00000000">
        <w:rPr>
          <w:b w:val="1"/>
          <w:bCs w:val="1"/>
          <w:rtl w:val="0"/>
        </w:rPr>
        <w:t xml:space="preserve">02_ML_Predict_CT_Attrtion.ipynb</w:t>
      </w:r>
      <w:r w:rsidDel="00000000" w:rsidR="00000000" w:rsidRPr="00000000">
        <w:rPr>
          <w:rtl w:val="0"/>
        </w:rPr>
        <w:t xml:space="preserve"> – encodes features, splits the dataset into training and test sets, trains three models, and reports performance metrics.</w:t>
      </w:r>
    </w:p>
    <w:p w:rsidR="00000000" w:rsidDel="00000000" w:rsidP="00000000" w:rsidRDefault="00000000" w:rsidRPr="00000000" w14:paraId="000000C1">
      <w:pPr>
        <w:numPr>
          <w:ilvl w:val="0"/>
          <w:numId w:val="2"/>
        </w:numPr>
        <w:ind w:left="720" w:hanging="360"/>
        <w:rPr>
          <w:u w:val="none"/>
        </w:rPr>
      </w:pPr>
      <w:r w:rsidDel="00000000" w:rsidR="00000000" w:rsidRPr="00000000">
        <w:rPr>
          <w:b w:val="1"/>
          <w:bCs w:val="1"/>
          <w:rtl w:val="0"/>
        </w:rPr>
        <w:t xml:space="preserve">03_Heat_Map.ipynb </w:t>
      </w:r>
      <w:r w:rsidDel="00000000" w:rsidR="00000000" w:rsidRPr="00000000">
        <w:rPr>
          <w:rtl w:val="0"/>
        </w:rPr>
        <w:t xml:space="preserve">– splits the dataset into low and high attrition, and produces two heat maps of attrition rates.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ind w:left="0" w:firstLine="0"/>
        <w:rPr>
          <w:rFonts w:ascii="Helvetica Neue" w:cs="Helvetica Neue" w:eastAsia="Helvetica Neue" w:hAnsi="Helvetica Neue"/>
        </w:rPr>
      </w:pPr>
      <w:bookmarkStart w:colFirst="0" w:colLast="0" w:name="_e184bq9h2810" w:id="22"/>
      <w:bookmarkEnd w:id="22"/>
      <w:r w:rsidDel="00000000" w:rsidR="00000000" w:rsidRPr="00000000">
        <w:rPr>
          <w:rFonts w:ascii="Helvetica Neue" w:cs="Helvetica Neue" w:eastAsia="Helvetica Neue" w:hAnsi="Helvetica Neue"/>
          <w:rtl w:val="0"/>
        </w:rPr>
        <w:t xml:space="preserve">Author Contributions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SA extracted the data using the ClinicalTrials.gov API and integrated the datasets.</w:t>
      </w:r>
    </w:p>
    <w:p w:rsidR="00000000" w:rsidDel="00000000" w:rsidP="00000000" w:rsidRDefault="00000000" w:rsidRPr="00000000" w14:paraId="000000C5">
      <w:pPr>
        <w:ind w:left="0" w:firstLine="0"/>
        <w:rPr/>
      </w:pPr>
      <w:r w:rsidDel="00000000" w:rsidR="00000000" w:rsidRPr="00000000">
        <w:rPr>
          <w:rtl w:val="0"/>
        </w:rPr>
        <w:t xml:space="preserve">PS handled data preprocessing and developed machine-learning models.</w:t>
      </w:r>
    </w:p>
    <w:p w:rsidR="00000000" w:rsidDel="00000000" w:rsidP="00000000" w:rsidRDefault="00000000" w:rsidRPr="00000000" w14:paraId="000000C6">
      <w:pPr>
        <w:ind w:left="0" w:firstLine="0"/>
        <w:rPr/>
      </w:pPr>
      <w:r w:rsidDel="00000000" w:rsidR="00000000" w:rsidRPr="00000000">
        <w:rPr>
          <w:rtl w:val="0"/>
        </w:rPr>
        <w:t xml:space="preserve">SZ created the heatmaps. </w:t>
      </w:r>
    </w:p>
    <w:p w:rsidR="00000000" w:rsidDel="00000000" w:rsidP="00000000" w:rsidRDefault="00000000" w:rsidRPr="00000000" w14:paraId="000000C7">
      <w:pPr>
        <w:ind w:left="0" w:firstLine="0"/>
        <w:rPr/>
      </w:pPr>
      <w:r w:rsidDel="00000000" w:rsidR="00000000" w:rsidRPr="00000000">
        <w:rPr>
          <w:rtl w:val="0"/>
        </w:rPr>
        <w:t xml:space="preserve">SA, PS, SZ contributed to feature and outcome selection, creation of the presentation, and writing of the report.</w:t>
      </w:r>
      <w:r w:rsidDel="00000000" w:rsidR="00000000" w:rsidRPr="00000000">
        <w:rPr>
          <w:rtl w:val="0"/>
        </w:rPr>
      </w:r>
    </w:p>
    <w:p w:rsidR="00000000" w:rsidDel="00000000" w:rsidP="00000000" w:rsidRDefault="00000000" w:rsidRPr="00000000" w14:paraId="000000C8">
      <w:pPr>
        <w:pStyle w:val="Heading1"/>
        <w:ind w:left="0" w:firstLine="0"/>
        <w:rPr>
          <w:rFonts w:ascii="Helvetica Neue" w:cs="Helvetica Neue" w:eastAsia="Helvetica Neue" w:hAnsi="Helvetica Neue"/>
        </w:rPr>
      </w:pPr>
      <w:bookmarkStart w:colFirst="0" w:colLast="0" w:name="_ixv7oly7l0xf" w:id="23"/>
      <w:bookmarkEnd w:id="23"/>
      <w:r w:rsidDel="00000000" w:rsidR="00000000" w:rsidRPr="00000000">
        <w:rPr>
          <w:rFonts w:ascii="Helvetica Neue" w:cs="Helvetica Neue" w:eastAsia="Helvetica Neue" w:hAnsi="Helvetica Neue"/>
          <w:rtl w:val="0"/>
        </w:rPr>
        <w:t xml:space="preserve">References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3"/>
        </w:numPr>
        <w:spacing w:after="0" w:afterAutospacing="0"/>
        <w:ind w:left="720" w:hanging="360"/>
      </w:pPr>
      <w:r w:rsidDel="00000000" w:rsidR="00000000" w:rsidRPr="00000000">
        <w:rPr>
          <w:rtl w:val="0"/>
        </w:rPr>
        <w:t xml:space="preserve">Bell, M. L., Kenward, M. G., Fairclough, D. L., &amp; Horton, N. J. (2013). Differential dropout and bias in randomised controlled trials: when it matters and when it may not. BMJ, 346, e8668. doi:10.1136/bmj.e8668</w:t>
      </w:r>
    </w:p>
    <w:p w:rsidR="00000000" w:rsidDel="00000000" w:rsidP="00000000" w:rsidRDefault="00000000" w:rsidRPr="00000000" w14:paraId="000000CB">
      <w:pPr>
        <w:numPr>
          <w:ilvl w:val="0"/>
          <w:numId w:val="3"/>
        </w:numPr>
        <w:spacing w:after="0" w:afterAutospacing="0"/>
        <w:ind w:left="720" w:hanging="360"/>
      </w:pPr>
      <w:r w:rsidDel="00000000" w:rsidR="00000000" w:rsidRPr="00000000">
        <w:rPr>
          <w:rtl w:val="0"/>
        </w:rPr>
        <w:t xml:space="preserve">Burge, P. S., Calverley, P. M., Jones, P. W., Spencer, S., Anderson, J. A., &amp; Maslen, T. K. (2000). Randomised, double blind, placebo controlled study of fluticasone propionate in patients with moderate to severe chronic obstructive pulmonary disease: the ISOLDE trial. BMJ, 320(7245), 1297–1303. doi:10.1136/bmj.320.7245.1297</w:t>
      </w:r>
    </w:p>
    <w:p w:rsidR="00000000" w:rsidDel="00000000" w:rsidP="00000000" w:rsidRDefault="00000000" w:rsidRPr="00000000" w14:paraId="000000CC">
      <w:pPr>
        <w:numPr>
          <w:ilvl w:val="0"/>
          <w:numId w:val="3"/>
        </w:numPr>
        <w:spacing w:after="0" w:afterAutospacing="0"/>
        <w:ind w:left="720" w:hanging="360"/>
      </w:pPr>
      <w:r w:rsidDel="00000000" w:rsidR="00000000" w:rsidRPr="00000000">
        <w:rPr>
          <w:rtl w:val="0"/>
        </w:rPr>
        <w:t xml:space="preserve">Coudray, N., Ocampo, P. S., Sakellaropoulos, T., Narula, N., Snuderl, M., Fenyo, D., … Tsirigos, A. (2018). Classification and mutation prediction from non-small cell lung cancer histopathology images using deep learning. Nat Med, 24(10), 1559–1567. doi:10.1038/s41591-018-0177-5</w:t>
      </w:r>
    </w:p>
    <w:p w:rsidR="00000000" w:rsidDel="00000000" w:rsidP="00000000" w:rsidRDefault="00000000" w:rsidRPr="00000000" w14:paraId="000000CD">
      <w:pPr>
        <w:numPr>
          <w:ilvl w:val="0"/>
          <w:numId w:val="3"/>
        </w:numPr>
        <w:spacing w:after="0" w:afterAutospacing="0"/>
        <w:ind w:left="720" w:hanging="360"/>
      </w:pPr>
      <w:r w:rsidDel="00000000" w:rsidR="00000000" w:rsidRPr="00000000">
        <w:rPr>
          <w:rtl w:val="0"/>
        </w:rPr>
        <w:t xml:space="preserve">Johnson, K. W., Shameer, K., Glicksberg, B. S., Readhead, B., Sengupta, P. P., Bjorkegren, J. L. M., … Dudley, J. T. (2017). Enabling Precision Cardiology Through Multiscale Biology and Systems Medicine. JACC Basic Transl Sci, 2(3), 311–327. doi:10.1016/j.jacbts.2016.11.010</w:t>
      </w:r>
    </w:p>
    <w:p w:rsidR="00000000" w:rsidDel="00000000" w:rsidP="00000000" w:rsidRDefault="00000000" w:rsidRPr="00000000" w14:paraId="000000CE">
      <w:pPr>
        <w:numPr>
          <w:ilvl w:val="0"/>
          <w:numId w:val="3"/>
        </w:numPr>
        <w:spacing w:after="0" w:afterAutospacing="0"/>
        <w:ind w:left="720" w:hanging="360"/>
      </w:pPr>
      <w:r w:rsidDel="00000000" w:rsidR="00000000" w:rsidRPr="00000000">
        <w:rPr>
          <w:rtl w:val="0"/>
        </w:rPr>
        <w:t xml:space="preserve">Khan, A., Khan, S. R., Leventhal, R. M., &amp; Brown, W. A. (2001). Symptom reduction and suicide risk among patients treated with placebo in antipsychotic clinical trials: an analysis of the food and drug administration database. Am J Psychiatry, 158(9), 1449–1454. doi:10.1176/appi.ajp.158.9.1449</w:t>
      </w:r>
    </w:p>
    <w:p w:rsidR="00000000" w:rsidDel="00000000" w:rsidP="00000000" w:rsidRDefault="00000000" w:rsidRPr="00000000" w14:paraId="000000CF">
      <w:pPr>
        <w:numPr>
          <w:ilvl w:val="0"/>
          <w:numId w:val="3"/>
        </w:numPr>
        <w:spacing w:after="0" w:afterAutospacing="0"/>
        <w:ind w:left="720" w:hanging="360"/>
      </w:pPr>
      <w:r w:rsidDel="00000000" w:rsidR="00000000" w:rsidRPr="00000000">
        <w:rPr>
          <w:rtl w:val="0"/>
        </w:rPr>
        <w:t xml:space="preserve">Wood, A. M., White, I. R., &amp; Thompson, S. G. (2004). Are missing outcome data adequately handled? A review of published randomized controlled trials in major medical journals. Clin Trials, 1(4), 368–376. doi:10.1191/1740774504cn032oa</w:t>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Zebracki, K., Drotar, D., Kirchner, H. L., Schluchter, M., Redline, S., Kercsmar, C., &amp; Walders, N. (2003). Predicting attrition in a pediatric asthma intervention study. J Pediatr Psychol, 28(8), 519–528. doi:10.1093/jpepsy/jsg042</w:t>
      </w:r>
      <w:r w:rsidDel="00000000" w:rsidR="00000000" w:rsidRPr="00000000">
        <w:rPr>
          <w:rtl w:val="0"/>
        </w:rPr>
      </w:r>
    </w:p>
    <w:p w:rsidR="00000000" w:rsidDel="00000000" w:rsidP="00000000" w:rsidRDefault="00000000" w:rsidRPr="00000000" w14:paraId="000000D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5">
      <w:pPr>
        <w:rPr>
          <w:rFonts w:ascii="Helvetica Neue" w:cs="Helvetica Neue" w:eastAsia="Helvetica Neue" w:hAnsi="Helvetica Neue"/>
        </w:rPr>
      </w:pPr>
      <w:r w:rsidDel="00000000" w:rsidR="00000000" w:rsidRPr="00000000">
        <w:rPr>
          <w:rtl w:val="0"/>
        </w:rPr>
      </w:r>
    </w:p>
    <w:sectPr>
      <w:headerReference r:id="rId7" w:type="default"/>
      <w:foot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Style w:val="Subtitle"/>
      <w:jc w:val="left"/>
      <w:rPr>
        <w:i w:val="0"/>
        <w:iCs w:val="0"/>
        <w:sz w:val="18"/>
        <w:szCs w:val="18"/>
      </w:rPr>
    </w:pPr>
    <w:bookmarkStart w:colFirst="0" w:colLast="0" w:name="_4iskitjbvh0s" w:id="24"/>
    <w:bookmarkEnd w:id="24"/>
    <w:r w:rsidDel="00000000" w:rsidR="00000000" w:rsidRPr="00000000">
      <w:rPr>
        <w:i w:val="0"/>
        <w:iCs w:val="0"/>
        <w:sz w:val="18"/>
        <w:szCs w:val="18"/>
        <w:rtl w:val="0"/>
      </w:rPr>
      <w:t xml:space="preserve">HIDS-6001 Fall 2024</w:t>
      <w:tab/>
      <w:tab/>
      <w:tab/>
      <w:tab/>
      <w:tab/>
      <w:tab/>
      <w:tab/>
      <w:tab/>
      <w:tab/>
      <w:tab/>
      <w:tab/>
      <w:tab/>
      <w:t xml:space="preserve">pg </w:t>
    </w:r>
    <w:r w:rsidDel="00000000" w:rsidR="00000000" w:rsidRPr="00000000">
      <w:rPr>
        <w:i w:val="0"/>
        <w:iCs w:val="0"/>
        <w:sz w:val="18"/>
        <w:szCs w:val="18"/>
      </w:rPr>
      <w:fldChar w:fldCharType="begin"/>
      <w:instrText xml:space="preserve">PAGE</w:instrText>
      <w:fldChar w:fldCharType="separate"/>
      <w:fldChar w:fldCharType="end"/>
    </w:r>
    <w:r w:rsidDel="00000000" w:rsidR="00000000" w:rsidRPr="00000000">
      <w:rPr>
        <w:i w:val="0"/>
        <w:iCs w:val="0"/>
        <w:sz w:val="18"/>
        <w:szCs w:val="18"/>
        <w:rtl w:val="0"/>
      </w:rPr>
      <w:t xml:space="preserve"> of </w:t>
    </w:r>
    <w:r w:rsidDel="00000000" w:rsidR="00000000" w:rsidRPr="00000000">
      <w:rPr>
        <w:i w:val="0"/>
        <w:iCs w:val="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ind w:left="0" w:firstLine="0"/>
    </w:pPr>
    <w:rPr>
      <w:rFonts w:ascii="Helvetica Neue" w:cs="Helvetica Neue" w:eastAsia="Helvetica Neue" w:hAnsi="Helvetica Neue"/>
      <w:b w:val="1"/>
      <w:bCs w:val="1"/>
      <w:sz w:val="32"/>
      <w:szCs w:val="32"/>
    </w:rPr>
  </w:style>
  <w:style w:type="paragraph" w:styleId="Heading2">
    <w:name w:val="heading 2"/>
    <w:basedOn w:val="Normal"/>
    <w:next w:val="Normal"/>
    <w:pPr>
      <w:keepNext w:val="1"/>
      <w:keepLines w:val="1"/>
      <w:spacing w:after="120" w:before="360" w:lineRule="auto"/>
      <w:ind w:left="0" w:firstLine="0"/>
    </w:pPr>
    <w:rPr>
      <w:rFonts w:ascii="Helvetica Neue" w:cs="Helvetica Neue" w:eastAsia="Helvetica Neue" w:hAnsi="Helvetica Neue"/>
      <w:sz w:val="28"/>
      <w:szCs w:val="28"/>
      <w:u w:val="single"/>
    </w:rPr>
  </w:style>
  <w:style w:type="paragraph" w:styleId="Heading3">
    <w:name w:val="heading 3"/>
    <w:basedOn w:val="Normal"/>
    <w:next w:val="Normal"/>
    <w:pPr>
      <w:keepNext w:val="1"/>
      <w:keepLines w:val="1"/>
      <w:ind w:left="0" w:firstLine="0"/>
    </w:pPr>
    <w:rPr>
      <w:rFonts w:ascii="Helvetica Neue" w:cs="Helvetica Neue" w:eastAsia="Helvetica Neue" w:hAnsi="Helvetica Neue"/>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ind w:left="0" w:firstLine="0"/>
    </w:pPr>
    <w:rPr>
      <w:rFonts w:ascii="Helvetica Neue" w:cs="Helvetica Neue" w:eastAsia="Helvetica Neue" w:hAnsi="Helvetica Neue"/>
      <w:b w:val="1"/>
      <w:bCs w:val="1"/>
      <w:sz w:val="40"/>
      <w:szCs w:val="40"/>
    </w:rPr>
  </w:style>
  <w:style w:type="paragraph" w:styleId="Subtitle">
    <w:name w:val="Subtitle"/>
    <w:basedOn w:val="Normal"/>
    <w:next w:val="Normal"/>
    <w:pPr>
      <w:keepNext w:val="1"/>
      <w:keepLines w:val="1"/>
      <w:ind w:left="0" w:firstLine="0"/>
    </w:pPr>
    <w:rPr>
      <w:rFonts w:ascii="Helvetica Neue" w:cs="Helvetica Neue" w:eastAsia="Helvetica Neue" w:hAnsi="Helvetica Neue"/>
      <w:i w:val="1"/>
      <w:iCs w:val="1"/>
      <w:color w:val="666666"/>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