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AVCL 仓库设计与实现审核</w:t>
      </w:r>
    </w:p>
    <w:p>
      <w:pPr>
        <w:pStyle w:val="Subtitle"/>
      </w:pPr>
      <w:r>
        <w:t>固定提交审核与独立复现</w:t>
      </w:r>
    </w:p>
    <w:p>
      <w:r>
        <w:t>项目：StephCpa/AgentFormalVarification</w:t>
      </w:r>
    </w:p>
    <w:p>
      <w:pPr>
        <w:pStyle w:val="AuditCode"/>
      </w:pPr>
      <w:r>
        <w:t>提交：3e5c63f4b44b31cdbceb9a4b9c056c949ef12276</w:t>
      </w:r>
    </w:p>
    <w:p>
      <w:r>
        <w:t>我对这次提交的总体判断是：已经形成可执行、可回放、包含机械证明的退款领域研究原型；项目仍应保持“M1 发布门槛未通过”。核心问题集中在已实现协议之间的衔接：较弱回执能够撤回终局知识，通用发送队列能够执行工作流没有走到的 Send。两者都能在合法授权、正确鉴权和预算检查通过的条件下复现。</w:t>
      </w:r>
      <w:hyperlink r:id="rId9">
        <w:r>
          <w:rPr>
            <w:color w:val="244C72"/>
          </w:rPr>
          <w:t>[R01]</w:t>
        </w:r>
      </w:hyperlink>
      <w:r/>
    </w:p>
    <w:p>
      <w:r>
        <w:t>本次共确认四项实现问题。原有 208 项单元测试和 195 项 PostgreSQL 集成测试全部通过；三份 Lean 文件与五个有限模型也通过独立重跑。因此，现有验证结果可信，但其覆盖范围不足以排除本报告中的组合反例。后文分别给出触发条件、实际结果、源代码定位、修复建议及验收标准。</w:t>
      </w:r>
    </w:p>
    <w:p>
      <w:pPr>
        <w:pStyle w:val="Heading1"/>
      </w:pPr>
      <w:r>
        <w:t>1 审核结论与优先级</w:t>
      </w:r>
    </w:p>
    <w:tbl>
      <w:tblPr>
        <w:tblW w:type="dxa" w:w="9993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"/>
        <w:gridCol w:w="1440"/>
        <w:gridCol w:w="3484"/>
        <w:gridCol w:w="4377"/>
      </w:tblGrid>
      <w:tr>
        <w:trPr>
          <w:cantSplit/>
          <w:tblHeader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348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已确认问题</w:t>
            </w:r>
          </w:p>
        </w:tc>
        <w:tc>
          <w:tcPr>
            <w:tcW w:type="dxa" w:w="437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实际影响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F1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348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旧非最终回执覆盖已完成结算</w:t>
            </w:r>
          </w:p>
        </w:tc>
        <w:tc>
          <w:tcPr>
            <w:tcW w:type="dxa" w:w="437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任务退回待决或失败；重建义务；恢复预留；可能隔离租户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F2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P1 条件适用</w:t>
            </w:r>
          </w:p>
        </w:tc>
        <w:tc>
          <w:tcPr>
            <w:tcW w:type="dxa" w:w="348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共享 outbox 绕过工作流 Send 控制</w:t>
            </w:r>
          </w:p>
        </w:tc>
        <w:tc>
          <w:tcPr>
            <w:tcW w:type="dxa" w:w="437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工作流未执行 Send，仍产生真实模拟远端效果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F3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type="dxa" w:w="348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合法金额分量之和超出回执解码域</w:t>
            </w:r>
          </w:p>
        </w:tc>
        <w:tc>
          <w:tcPr>
            <w:tcW w:type="dxa" w:w="437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实际支出已发生，正常签名回执却无法结算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F4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P3</w:t>
            </w:r>
          </w:p>
        </w:tc>
        <w:tc>
          <w:tcPr>
            <w:tcW w:type="dxa" w:w="348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政策升级阻断内存运行幂等回放</w:t>
            </w:r>
          </w:p>
        </w:tc>
        <w:tc>
          <w:tcPr>
            <w:tcW w:type="dxa" w:w="437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无法通过同一输入读取已完成运行；与持久后端不一致</w:t>
            </w:r>
          </w:p>
        </w:tc>
      </w:tr>
    </w:tbl>
    <w:p>
      <w:pPr>
        <w:spacing w:after="20"/>
      </w:pPr>
    </w:p>
    <w:p>
      <w:r>
        <w:t>P1 表示应在依赖相关运行保证或接入相关组合前修复；P2 是有效输入范围内的明确正确性问题；P3 是可用性与后端一致性问题。F2 的前提是宿主同时使用持久工作流和通用 outbox 消费者。仅运行单一工作流解释器不会自动触发该反例；这种组合一旦启用，应作为发布阻断项。</w:t>
      </w:r>
    </w:p>
    <w:p>
      <w:r>
        <w:t>本报告没有发现可由这些反例推出的能力伪造或重复退款。F1 的核心是知识合并错误，F2 的核心是程序执行语义失效；不应把它们改写成已经绕过全部授权或预算保护。</w:t>
      </w:r>
    </w:p>
    <w:p>
      <w:pPr>
        <w:pStyle w:val="Heading1"/>
      </w:pPr>
      <w:r>
        <w:t>2 审核基线与执行证据</w:t>
      </w:r>
    </w:p>
    <w:p>
      <w:r>
        <w:t>审阅固定在上述完整提交 SHA。收束时再次读取远端 main，仍为同一提交。用户提供的原始设计 DOCX 与仓库中的同名文件逐字节一致，SHA-256 为 0543471efc21c36a0cbfcf210a1c0fe9be9c111bb894152d32cac00722b8e00a。设计要求、仓库详细设计、实施矩阵、源码与测试因此可以在同一基线上比较。</w:t>
      </w:r>
    </w:p>
    <w:p>
      <w:r>
        <w:t>审核覆盖受限 IR 与检查器、政策发布、授权与账本、操作状态机、发送和回执信封、工作流、任务关闭、监督与容量、能力委派、数据库事务与恢复、Lean 定理和有限模型。新增探针保存在独立审阅目录，仓库受版本控制的文件未修改。</w:t>
      </w:r>
    </w:p>
    <w:tbl>
      <w:tblPr>
        <w:tblW w:type="dxa" w:w="9993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2736"/>
        <w:gridCol w:w="5313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证据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本次结果</w:t>
            </w:r>
          </w:p>
        </w:tc>
        <w:tc>
          <w:tcPr>
            <w:tcW w:type="dxa" w:w="53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准确含义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单元测试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208 项通过</w:t>
            </w:r>
          </w:p>
        </w:tc>
        <w:tc>
          <w:tcPr>
            <w:tcW w:type="dxa" w:w="53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原有测试逐项运行；不包含新增探针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PostgreSQL 集成测试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195 项通过</w:t>
            </w:r>
          </w:p>
        </w:tc>
        <w:tc>
          <w:tcPr>
            <w:tcW w:type="dxa" w:w="53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真实 PostgreSQL 18.6；独立连接及进程故障测试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Lean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3 个文件通过</w:t>
            </w:r>
          </w:p>
        </w:tc>
        <w:tc>
          <w:tcPr>
            <w:tcW w:type="dxa" w:w="53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Core、Delegation、CostBridge；固定版本 4.33.0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公理依赖门禁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17 个声明通过</w:t>
            </w:r>
          </w:p>
        </w:tc>
        <w:tc>
          <w:tcPr>
            <w:tcW w:type="dxa" w:w="53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记录完整无重复；无 sorryAx 或自定义公理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有限模型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5 个正常模型无反例</w:t>
            </w:r>
          </w:p>
        </w:tc>
        <w:tc>
          <w:tcPr>
            <w:tcW w:type="dxa" w:w="53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分别在各自明确的有限状态空间内成立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变异模型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13 个错误变体均检出</w:t>
            </w:r>
          </w:p>
        </w:tc>
        <w:tc>
          <w:tcPr>
            <w:tcW w:type="dxa" w:w="53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预算 2、容量 2、委派 2、费用 4、发送窗口 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冻结证据一致性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120 个源文件摘要全部匹配</w:t>
            </w:r>
          </w:p>
        </w:tc>
        <w:tc>
          <w:tcPr>
            <w:tcW w:type="dxa" w:w="53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最新历史 verification.json 对应本次源码快照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新增反例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4 个问题均复现</w:t>
            </w:r>
          </w:p>
        </w:tc>
        <w:tc>
          <w:tcPr>
            <w:tcW w:type="dxa" w:w="53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F1 同时在内存和 PostgreSQL 中复现；F2 在 PostgreSQL 中复现</w:t>
            </w:r>
          </w:p>
        </w:tc>
      </w:tr>
    </w:tbl>
    <w:p>
      <w:pPr>
        <w:spacing w:after="20"/>
      </w:pPr>
    </w:p>
    <w:p>
      <w:r>
        <w:t>本次环境为 Linux、Python 3.12.14、psycopg/psycopg-binary 3.3.3、PostgreSQL 18.6、Lean 4.33.0。数据库 fsync、synchronous_commit 与 full_page_writes 均开启。首轮 HTTP 子进程因驱动不在其 Python 搜索路径中启动失败；改用独立虚拟环境后完整重跑 195 项全部通过，该环境启动失败未列为仓库缺陷。</w:t>
      </w:r>
    </w:p>
    <w:p>
      <w:r>
        <w:t>仓库最新冻结报告为 20261025T202705.069248Z，记录 21 个阶段通过。本次独立执行了上表所列套件、证明和模型；没有把它表述为重新运行全部 21 个历史阶段。另行运行的 12 项模型及证明门禁测试属于原有测试的子集，不重复计入 403 项总数。</w:t>
      </w:r>
      <w:hyperlink r:id="rId9">
        <w:r>
          <w:rPr>
            <w:color w:val="244C72"/>
          </w:rPr>
          <w:t>[R01]</w:t>
        </w:r>
      </w:hyperlink>
      <w:r/>
      <w:hyperlink r:id="rId10">
        <w:r>
          <w:rPr>
            <w:color w:val="244C72"/>
          </w:rPr>
          <w:t>[R23]</w:t>
        </w:r>
      </w:hyperlink>
      <w:r/>
      <w:hyperlink r:id="rId11">
        <w:r>
          <w:rPr>
            <w:color w:val="244C72"/>
          </w:rPr>
          <w:t>[R26]</w:t>
        </w:r>
      </w:hyperlink>
      <w:r/>
    </w:p>
    <w:p>
      <w:pPr>
        <w:pStyle w:val="Heading1"/>
      </w:pPr>
      <w:r>
        <w:t>3 F1 旧回执撤回已完成结算</w:t>
      </w:r>
    </w:p>
    <w:p>
      <w:r>
        <w:t>优先级 P1。核心位置是 runtime.py 第 456 至 475 行；持久连带影响由 postgres.py 第 135 至 151 行产生。回执验证器校验签名、操作绑定和非未来时间，但后续 Observation 未保留 observed_at 供合并规则使用。</w:t>
      </w:r>
      <w:hyperlink r:id="rId12">
        <w:r>
          <w:rPr>
            <w:color w:val="244C72"/>
          </w:rPr>
          <w:t>[R03]</w:t>
        </w:r>
      </w:hyperlink>
      <w:r/>
      <w:hyperlink r:id="rId13">
        <w:r>
          <w:rPr>
            <w:color w:val="244C72"/>
          </w:rPr>
          <w:t>[R04]</w:t>
        </w:r>
      </w:hyperlink>
      <w:r/>
      <w:hyperlink r:id="rId14">
        <w:r>
          <w:rPr>
            <w:color w:val="244C72"/>
          </w:rPr>
          <w:t>[R05]</w:t>
        </w:r>
      </w:hyperlink>
      <w:r/>
    </w:p>
    <w:p>
      <w:pPr>
        <w:pStyle w:val="Heading2"/>
      </w:pPr>
      <w:r>
        <w:t>3.1 触发条件与实际结果</w:t>
      </w:r>
    </w:p>
    <w:p>
      <w:r>
        <w:t>同一退款实际只支出 70。受信服务产生两个不同 ID、同操作、同请求、同 Confirmed 结果、同累计成本 70 的合法签名回执。较早回执的 final_cost=False，较晚回执的 final_cost=True；两者 terminal_effect=True。较晚最终回执先到，本地完成结算并关闭任务；此前未接收的较早回执随后到达。这里没有伪造签名、降低累计成本、改变请求参数或新增真实费用。</w:t>
      </w:r>
    </w:p>
    <w:tbl>
      <w:tblPr>
        <w:tblW w:type="dxa" w:w="9993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9"/>
        <w:gridCol w:w="2044"/>
        <w:gridCol w:w="2808"/>
        <w:gridCol w:w="3211"/>
      </w:tblGrid>
      <w:tr>
        <w:trPr>
          <w:cantSplit/>
          <w:tblHeader/>
        </w:trPr>
        <w:tc>
          <w:tcPr>
            <w:tcW w:type="dxa" w:w="193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观测项目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/>
                <w:sz w:val="20"/>
              </w:rPr>
              <w:t>最终回执处理后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/>
                <w:sz w:val="20"/>
              </w:rPr>
              <w:t>旧回执后 费用上界 0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/>
                <w:sz w:val="20"/>
              </w:rPr>
              <w:t>旧回执后 费用上界 10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执行状态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Confirmed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Confirmed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Confirmed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结算状态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Final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Partial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Disputed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任务当前状态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Completed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Failed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outbox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Done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NeedsReconcile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NeedsReconcile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未解决义务数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操作容量占用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已确认支出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70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未决预留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租户隔离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false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false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true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实际服务成本</w:t>
            </w:r>
          </w:p>
        </w:tc>
        <w:tc>
          <w:tcPr>
            <w:tcW w:type="dxa" w:w="204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70</w:t>
            </w:r>
          </w:p>
        </w:tc>
      </w:tr>
    </w:tbl>
    <w:p>
      <w:pPr>
        <w:spacing w:after="20"/>
      </w:pPr>
    </w:p>
    <w:p>
      <w:r>
        <w:t>两组 PostgreSQL 场景都通过重新打开内核读取得到上述结果。操作及义务容量原本各有 1 个剩余名额，之后都变为 0。数据库持久状态与内存结果一致，现有 assert_invariants() 仍通过。此处报告的是任务的当前投影发生退化；原始已关闭任务回执仍为历史记录，不能声称历史回执被删除或改写。</w:t>
      </w:r>
    </w:p>
    <w:p>
      <w:pPr>
        <w:pStyle w:val="Heading2"/>
      </w:pPr>
      <w:r>
        <w:t>3.2 根因</w:t>
      </w:r>
    </w:p>
    <w:p>
      <w:pPr>
        <w:pStyle w:val="AuditCode"/>
        <w:keepLines/>
        <w:spacing w:before="80" w:after="160"/>
      </w:pPr>
      <w:r>
        <w:t>finalize = observation.final_cost and observation.terminal_effect</w:t>
        <w:br/>
        <w:t>remaining = 0 if finalize else max(0, r.upper - c)</w:t>
        <w:br/>
        <w:t>violates = delta + remaining &gt; r.remaining</w:t>
      </w:r>
    </w:p>
    <w:p>
      <w:r>
        <w:t>这段逻辑把当前到达消息的强弱当作操作当前知识的强弱。Final 之后旧预留已经为 0；较弱回执使 remaining 再次按完整上界计算。费用上界为 0 时，数值账本不变但 Final 退回 Partial；费用上界为 10 时，重新出现 10 的预留，又被认定为 cost_bound_exceeded_or_cost_after_final，进入 Disputed 并隔离租户。</w:t>
      </w:r>
      <w:hyperlink r:id="rId12">
        <w:r>
          <w:rPr>
            <w:color w:val="244C72"/>
          </w:rPr>
          <w:t>[R03]</w:t>
        </w:r>
      </w:hyperlink>
      <w:r/>
    </w:p>
    <w:p>
      <w:r>
        <w:t>PostgreSQL 随后把退化状态投影为新核对义务、NeedsReconcile 队列状态和待决或失败任务，因此问题会影响业务完成判断、容量和整个租户的新支出可用性。</w:t>
      </w:r>
      <w:hyperlink r:id="rId14">
        <w:r>
          <w:rPr>
            <w:color w:val="244C72"/>
          </w:rPr>
          <w:t>[R05]</w:t>
        </w:r>
      </w:hyperlink>
      <w:r/>
    </w:p>
    <w:p>
      <w:pPr>
        <w:pStyle w:val="Heading2"/>
      </w:pPr>
      <w:r>
        <w:t>3.3 为什么已有证明和测试没有阻止它</w:t>
      </w:r>
    </w:p>
    <w:p>
      <w:r>
        <w:t>CostBridge.lean 的 Active 只包含 admitted、unknown、partialCost，不包含 final。observePartial 要求 Active；Final 后没有 Final→Partial 的正常转移，retain 才能表示没有新增知识的重复事件。费用上界为 10 的反例还使 exposure 从 70 增加到 80，不满足已证明合法 Step 的 exposure 单调性。</w:t>
      </w:r>
      <w:hyperlink r:id="rId15">
        <w:r>
          <w:rPr>
            <w:color w:val="244C72"/>
          </w:rPr>
          <w:t>[R15]</w:t>
        </w:r>
      </w:hyperlink>
      <w:r/>
    </w:p>
    <w:p>
      <w:r>
        <w:t>因此，准确结论是具体运行时出现了已证明抽象状态机不允许的转移。Lean 定理本身没有被推翻；尚未建立的 Python/SQL 精化关系在这里有一个具体失败实例。有限费用模型将 Final 后的重复回执建模为恒等转移，没有独立的生成和投递队列；规格明确承认未覆盖乱序。已披露的模型限制和新发现的运行时缺陷应分别记录。</w:t>
      </w:r>
      <w:hyperlink r:id="rId16">
        <w:r>
          <w:rPr>
            <w:color w:val="244C72"/>
          </w:rPr>
          <w:t>[R20]</w:t>
        </w:r>
      </w:hyperlink>
      <w:r/>
      <w:hyperlink r:id="rId17">
        <w:r>
          <w:rPr>
            <w:color w:val="244C72"/>
          </w:rPr>
          <w:t>[R21]</w:t>
        </w:r>
      </w:hyperlink>
      <w:r/>
    </w:p>
    <w:p>
      <w:pPr>
        <w:pStyle w:val="Heading2"/>
      </w:pPr>
      <w:r>
        <w:t>3.4 修复与验收</w:t>
      </w:r>
    </w:p>
    <w:p>
      <w:r>
        <w:t>把观察合并定义为知识的单调累积。对于同一终局结果、同一累计成本的较弱旧证据，追加原始记录和审计事件，同时保持 Final、零预留、已解决义务和已释放容量。真实新增费用或矛盾结果仍应进入争议路径；不能把所有 Final 之后的回执一律忽略。</w:t>
      </w:r>
    </w:p>
    <w:p>
      <w:r>
        <w:t>建议为更一般的陈旧消息保留服务端序号或可信事实时间，并明确何时视为历史事实、何时视为矛盾。仅比较 observed_at 大小也不够：同一时刻、多来源和不同事实维度仍需要明确偏序及一致性规则。</w:t>
      </w:r>
    </w:p>
    <w:p>
      <w:r>
        <w:t>修复验收应覆盖费用上界 0 和 10、不同回执 ID、final 先到与后到、同一旧回执重放、旧回执投影前后重启，并检查执行、结算、账本、任务、outbox、义务、容量和隔离位。额外保留真实迟到新增费用触发争议的用例，防止以吞掉事故事实换取状态不回退。</w:t>
      </w:r>
    </w:p>
    <w:p>
      <w:pPr>
        <w:pStyle w:val="Heading1"/>
      </w:pPr>
      <w:r>
        <w:t>4 F2 共享发送队列越过工作流分支</w:t>
      </w:r>
    </w:p>
    <w:p>
      <w:r>
        <w:t>优先级 P1，适用于持久工作流与通用 outbox 消费者共同使用的配置。工作流规格明确规定 Dispatch 仅本地准入，Send 才产生工具全部外部效果，程序在 Dispatch 后结束时没有远端效果。当前静态规则也只给 Dispatch 记 ResourceConsume。</w:t>
      </w:r>
      <w:hyperlink r:id="rId18">
        <w:r>
          <w:rPr>
            <w:color w:val="244C72"/>
          </w:rPr>
          <w:t>[R02]</w:t>
        </w:r>
      </w:hyperlink>
      <w:r/>
      <w:hyperlink r:id="rId19">
        <w:r>
          <w:rPr>
            <w:color w:val="244C72"/>
          </w:rPr>
          <w:t>[R08]</w:t>
        </w:r>
      </w:hyperlink>
      <w:r/>
      <w:hyperlink r:id="rId20">
        <w:r>
          <w:rPr>
            <w:color w:val="244C72"/>
          </w:rPr>
          <w:t>[R27]</w:t>
        </w:r>
      </w:hyperlink>
      <w:r/>
    </w:p>
    <w:p>
      <w:pPr>
        <w:pStyle w:val="Heading2"/>
      </w:pPr>
      <w:r>
        <w:t>4.1 两个独立复现</w:t>
      </w:r>
    </w:p>
    <w:p>
      <w:r>
        <w:t>第一个程序只执行 Prepare→Dispatch，声明与推导效果均只有 ResourceConsume。第二个程序执行 Prepare→Dispatch→If(flag, Send, [])，输入 flag=False；轨迹明确选择 otherwise 并完成 Join，没有执行 Send。</w:t>
      </w:r>
    </w:p>
    <w:tbl>
      <w:tblPr>
        <w:tblW w:type="dxa" w:w="9993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3"/>
        <w:gridCol w:w="3787"/>
        <w:gridCol w:w="4363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案例</w:t>
            </w:r>
          </w:p>
        </w:tc>
        <w:tc>
          <w:tcPr>
            <w:tcW w:type="dxa" w:w="378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普通 sender 介入前</w:t>
            </w:r>
          </w:p>
        </w:tc>
        <w:tc>
          <w:tcPr>
            <w:tcW w:type="dxa" w:w="436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普通 sender 介入后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仅 Dispatch</w:t>
            </w:r>
          </w:p>
        </w:tc>
        <w:tc>
          <w:tcPr>
            <w:tcW w:type="dxa" w:w="378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Finished；远端效果 0；outbox 为 Pending</w:t>
            </w:r>
          </w:p>
        </w:tc>
        <w:tc>
          <w:tcPr>
            <w:tcW w:type="dxa" w:w="436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合法信封被远端接受；效果 1；实际费用 70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Send 分支为 false</w:t>
            </w:r>
          </w:p>
        </w:tc>
        <w:tc>
          <w:tcPr>
            <w:tcW w:type="dxa" w:w="3787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Finished；没有 Send 步骤；远端效果 0</w:t>
            </w:r>
          </w:p>
        </w:tc>
        <w:tc>
          <w:tcPr>
            <w:tcW w:type="dxa" w:w="436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仍发出同一操作；效果 1；工作流轨迹保持不变</w:t>
            </w:r>
          </w:p>
        </w:tc>
      </w:tr>
    </w:tbl>
    <w:p>
      <w:pPr>
        <w:spacing w:after="20"/>
      </w:pPr>
    </w:p>
    <w:p>
      <w:r>
        <w:t>两个案例均在 PostgreSQL 18.6 上复现。领取者使用正常宿主 API claim_outbox，远端开启发送信封验证；没有修改 SQL、伪造密钥或向远端直接传递原始 Operation。操作层能力、批准、预算和派发准入都合法，且没有第二次退款。</w:t>
      </w:r>
    </w:p>
    <w:p>
      <w:pPr>
        <w:pStyle w:val="AuditCode"/>
        <w:keepLines/>
        <w:spacing w:before="80" w:after="160"/>
      </w:pPr>
      <w:r>
        <w:t>result = executor.run(program, "a", "audit-run", refs,</w:t>
        <w:br/>
        <w:t xml:space="preserve">                      {"flag": False})</w:t>
        <w:br/>
        <w:t>claim = kernel.claim_outbox("ordinary-outbox-worker",</w:t>
        <w:br/>
        <w:t xml:space="preserve">                            authenticated_receipts=True)</w:t>
        <w:br/>
        <w:t>receipt = service.send(claim["envelope"])</w:t>
        <w:br/>
        <w:t>kernel.trusted.observe(receipt,</w:t>
        <w:br/>
        <w:t xml:space="preserve">    expected_operation_id=claim["operation"].id)</w:t>
      </w:r>
    </w:p>
    <w:p>
      <w:pPr>
        <w:pStyle w:val="Heading2"/>
      </w:pPr>
      <w:r>
        <w:t>4.2 根因与语义影响</w:t>
      </w:r>
    </w:p>
    <w:p>
      <w:r>
        <w:t>持久工作流的 Dispatch 调用 k.dispatch；数据库 _save 对任何 admitted 操作自动建立 Pending Send outbox。通用 claim_outbox 查询所有 Pending 项，不检查 workflow_operation 归属，也不要求所属工作流 Send 节点已经获得发送权。</w:t>
      </w:r>
      <w:hyperlink r:id="rId14">
        <w:r>
          <w:rPr>
            <w:color w:val="244C72"/>
          </w:rPr>
          <w:t>[R05]</w:t>
        </w:r>
      </w:hyperlink>
      <w:r/>
      <w:hyperlink r:id="rId21">
        <w:r>
          <w:rPr>
            <w:color w:val="244C72"/>
          </w:rPr>
          <w:t>[R06]</w:t>
        </w:r>
      </w:hyperlink>
      <w:r/>
      <w:hyperlink r:id="rId22">
        <w:r>
          <w:rPr>
            <w:color w:val="244C72"/>
          </w:rPr>
          <w:t>[R07]</w:t>
        </w:r>
      </w:hyperlink>
      <w:r/>
    </w:p>
    <w:p>
      <w:r>
        <w:t>由此，程序控制流不能约束该程序操作在共享发送器中的行为。即使把所有工具效果加入工作流声明，false 分支仍然失效；所以问题不只是静态效果标签少记了一项。反例也可能在 Dispatch 与后续条件之间由并发 worker 触发，不必等到工作流 Finished。</w:t>
      </w:r>
    </w:p>
    <w:p>
      <w:r>
        <w:t>仓库没有一个已经部署的常驻生产 sender 服务。因此本报告不声称任何现有线上部署已受影响；结论针对已经实现并被测试使用的两个正常宿主入口的组合。这一前提应写在缺陷单和发布配置说明中。</w:t>
      </w:r>
    </w:p>
    <w:p>
      <w:pPr>
        <w:pStyle w:val="Heading2"/>
      </w:pPr>
      <w:r>
        <w:t>4.3 修复的两种语义选择</w:t>
      </w:r>
    </w:p>
    <w:p>
      <w:r>
        <w:t>推荐保留现有 Dispatch/Send 分离语义：持久保存发送所有权和可发送状态，工作流拥有的操作在 Send 节点前不能被通用 worker 领取。Send 节点应在同一事务中记录节点意图并获得首次发送权；普通 API 的自主排队模式应有显式不同的来源或模式。</w:t>
      </w:r>
    </w:p>
    <w:p>
      <w:r>
        <w:t>单纯让通用 claim 查询排除 workflow_operation 是较小的修补方向；更完整的设计需要覆盖领取、重启、租约到期和监督器等所有可发送入口。Finished、Halted 或失去 worker 不应自动解除发送限制。需要转交时，应有显式、持久的交接动作。</w:t>
      </w:r>
    </w:p>
    <w:p>
      <w:r>
        <w:t>另一种选择是把 Dispatch 定义为允许后台发送，将完整工具效果归入 Dispatch，并要求所有“不应执行”的条件位于 Dispatch 之前。这属于语言语义变更，必须同时更新规格、类型效果规则、示例和测试，不能只改文案来解释旧行为。</w:t>
      </w:r>
    </w:p>
    <w:p>
      <w:r>
        <w:t>验收至少包括仅 Dispatch、false 分支、true 分支、通用 sender 与节点推进并发、Dispatch 后进程退出、租约恢复，以及显式转交。核心判据是每个实际发送意图都能对应已持久化的允许发送动作，并且所属工作流的未执行 Send 分支不能产生效果。</w:t>
      </w:r>
    </w:p>
    <w:p>
      <w:pPr>
        <w:pStyle w:val="Heading1"/>
      </w:pPr>
      <w:r>
        <w:t>5 F3 金额表示域对合法操作不闭合</w:t>
      </w:r>
    </w:p>
    <w:p>
      <w:r>
        <w:t>优先级 P2。这是极端但有效的数值边界。amount() 接受最多 18 位非负十进制字符串；本金和 max_fee 分别按此解析，prepare 把两者相加作为租户预留上界。累计回执成本却继续使用同一个 18 位解析器。</w:t>
      </w:r>
      <w:hyperlink r:id="rId23">
        <w:r>
          <w:rPr>
            <w:color w:val="244C72"/>
          </w:rPr>
          <w:t>[R09]</w:t>
        </w:r>
      </w:hyperlink>
      <w:r/>
      <w:hyperlink r:id="rId24">
        <w:r>
          <w:rPr>
            <w:color w:val="244C72"/>
          </w:rPr>
          <w:t>[R10]</w:t>
        </w:r>
      </w:hyperlink>
      <w:r/>
      <w:hyperlink r:id="rId13">
        <w:r>
          <w:rPr>
            <w:color w:val="244C72"/>
          </w:rPr>
          <w:t>[R04]</w:t>
        </w:r>
      </w:hyperlink>
      <w:r/>
    </w:p>
    <w:p>
      <w:pPr>
        <w:pStyle w:val="AuditCode"/>
        <w:keepLines/>
        <w:spacing w:before="80" w:after="160"/>
      </w:pPr>
      <w:r>
        <w:t>amount_minor  = "1"</w:t>
        <w:br/>
        <w:t>max_fee_minor = "999999999999999999"</w:t>
        <w:br/>
        <w:t>tenant_limit  = 1000000000000000000</w:t>
        <w:br/>
        <w:t>actual_total  = 1000000000000000000</w:t>
      </w:r>
    </w:p>
    <w:p>
      <w:r>
        <w:t>本金、手续费上界、账户额度、授权与远端效果均被现有实现接受。模拟服务手续费正好等于批准上界，因此没有超预算或适配器违约。完整签名请求已在远端产生总成本 1000000000000000000；正确签名回执到达时，累计值无法被 amount() 解析，抛出 INVALID_AMOUNT。</w:t>
      </w:r>
    </w:p>
    <w:tbl>
      <w:tblPr>
        <w:tblW w:type="dxa" w:w="9993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7761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76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实测结果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远端真实成本</w:t>
            </w:r>
          </w:p>
        </w:tc>
        <w:tc>
          <w:tcPr>
            <w:tcW w:type="dxa" w:w="776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1000000000000000000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执行和结算</w:t>
            </w:r>
          </w:p>
        </w:tc>
        <w:tc>
          <w:tcPr>
            <w:tcW w:type="dxa" w:w="776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Unknown / Unsettled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账本</w:t>
            </w:r>
          </w:p>
        </w:tc>
        <w:tc>
          <w:tcPr>
            <w:tcW w:type="dxa" w:w="776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spent=0；pending=1000000000000000000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隔离</w:t>
            </w:r>
          </w:p>
        </w:tc>
        <w:tc>
          <w:tcPr>
            <w:tcW w:type="dxa" w:w="776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true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预算超界标记</w:t>
            </w:r>
          </w:p>
        </w:tc>
        <w:tc>
          <w:tcPr>
            <w:tcW w:type="dxa" w:w="776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false</w:t>
            </w:r>
          </w:p>
        </w:tc>
      </w:tr>
    </w:tbl>
    <w:p>
      <w:pPr>
        <w:spacing w:after="20"/>
      </w:pPr>
    </w:p>
    <w:p>
      <w:r>
        <w:t>拒绝该回执没有撤销已发生的效果。此后同一正确累计回执仍无法通过解析，所以正常结算路径无法清理该预留。这里的根因是协议金额域不闭合，不是 Python 整数溢出或浮点舍入。</w:t>
      </w:r>
    </w:p>
    <w:p>
      <w:r>
        <w:t>建议明确区分请求金额、单次总成本、累计成本和账户累计账本的表示范围。可以在任何副作用前拒绝无法表示的本金加费用上界，也可以扩大有界累计成本域；选择必须贯穿 Request、信封、存储和错误路径。不要仅取消所有上限。</w:t>
      </w:r>
    </w:p>
    <w:p>
      <w:r>
        <w:t>验收需同时检查单个分量边界与分量之和边界，证明任何已准入的正常操作，其允许的累计回执都能被当前协议解码。还应明确超界事故的数值如何留存，避免过大事故费用在入口被直接丢弃。</w:t>
      </w:r>
    </w:p>
    <w:p>
      <w:pPr>
        <w:pStyle w:val="Heading1"/>
      </w:pPr>
      <w:r>
        <w:t>6 F4 政策升级破坏内存运行回放</w:t>
      </w:r>
    </w:p>
    <w:p>
      <w:r>
        <w:t>优先级 P3。WorkflowExecutor.run 在查询已有 run 缓存前，先使用当前活动合约调用 load_workflow。已有 run 的相同输入原本应返回已有结果；合法切换政策后，旧程序先被当前合约拒绝，不能走到缓存判断。</w:t>
      </w:r>
      <w:hyperlink r:id="rId25">
        <w:r>
          <w:rPr>
            <w:color w:val="244C72"/>
          </w:rPr>
          <w:t>[R11]</w:t>
        </w:r>
      </w:hyperlink>
      <w:r/>
      <w:hyperlink r:id="rId18">
        <w:r>
          <w:rPr>
            <w:color w:val="244C72"/>
          </w:rPr>
          <w:t>[R02]</w:t>
        </w:r>
      </w:hyperlink>
      <w:r/>
    </w:p>
    <w:p>
      <w:pPr>
        <w:pStyle w:val="AuditCode"/>
        <w:keepLines/>
        <w:spacing w:before="80" w:after="160"/>
      </w:pPr>
      <w:r>
        <w:t>v1: run(program, subject, run_id, refs, values) -&gt; Finished</w:t>
        <w:br/>
        <w:t>v1: same submission again -&gt; same result</w:t>
        <w:br/>
        <w:t>activate_policy(v2)</w:t>
        <w:br/>
        <w:t>v2: same submission again -&gt; WORKFLOW_CONTRACT_MISMATCH</w:t>
      </w:r>
    </w:p>
    <w:p>
      <w:r>
        <w:t>实测中远端效果始终只有 1 次，spent=70、pending=0。问题是旧结果的幂等读取可用性与后端一致性，没有发生旧动作重执行。持久工作流已经正确地先查 prior run，再选择其历史 contract_digest 对应的快照，因此可直接作为行为对齐参考。</w:t>
      </w:r>
      <w:hyperlink r:id="rId26">
        <w:r>
          <w:rPr>
            <w:color w:val="244C72"/>
          </w:rPr>
          <w:t>[R12]</w:t>
        </w:r>
      </w:hyperlink>
      <w:r/>
    </w:p>
    <w:p>
      <w:r>
        <w:t>修复应保存每次运行的规范化提交、历史合约及提交摘要。对于已有 run，先在对应历史合约下验证同键同参并返回原结果；对于新 run，继续要求当前活动合约。不能无条件提前返回缓存，否则会失去同键异参冲突检查。</w:t>
      </w:r>
    </w:p>
    <w:p>
      <w:r>
        <w:t>验收应覆盖政策切换前后相同输入重放、同键不同程序或 refs/values 的冲突、新 run 使用旧合约的拒绝，以及内存与持久后端对同一场景的结果一致。</w:t>
      </w:r>
    </w:p>
    <w:p>
      <w:pPr>
        <w:pStyle w:val="Heading1"/>
      </w:pPr>
      <w:r>
        <w:t>7 对原设计的落实程度</w:t>
      </w:r>
    </w:p>
    <w:p>
      <w:r>
        <w:t>原设计允许先交付形式核心、参考解释器和 Python 嵌入接口，再由实验决定是否需要独立文本语法。因而没有表层 DSL 本身不构成偏离。当前较准确的产品定位是“退款领域契约执行核心与受限工作流 IR”。工作流静态接受、政策发布授权、运行时事实和业务完成之间已经有显式分层。</w:t>
      </w:r>
      <w:hyperlink r:id="rId18">
        <w:r>
          <w:rPr>
            <w:color w:val="244C72"/>
          </w:rPr>
          <w:t>[R02]</w:t>
        </w:r>
      </w:hyperlink>
      <w:r/>
      <w:hyperlink r:id="rId27">
        <w:r>
          <w:rPr>
            <w:color w:val="244C72"/>
          </w:rPr>
          <w:t>[R13]</w:t>
        </w:r>
      </w:hyperlink>
      <w:r/>
    </w:p>
    <w:tbl>
      <w:tblPr>
        <w:tblW w:type="dxa" w:w="9993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42"/>
        <w:gridCol w:w="4132"/>
        <w:gridCol w:w="4118"/>
      </w:tblGrid>
      <w:tr>
        <w:trPr>
          <w:cantSplit/>
          <w:tblHeader/>
        </w:trPr>
        <w:tc>
          <w:tcPr>
            <w:tcW w:type="dxa" w:w="174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设计方面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已落实内容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尚不能据此承诺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对象与权限分层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Candidate、Evidence、Capability、Approval、Permit、Operation 的职责分开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任意现实事实正确性；通用依赖类型 Evidence&lt;P&gt;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纯谓词与编译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受限类型、Option 守卫、不可变输入；同 IR 生成和重建运行检查器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完整编译器健全性；通用 SMT 验证条件或时序后端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语言资源使用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有限工作流仿射分析、分支合流、效果并集及拒绝不支持命令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任意 Python 安全；任意 ToolCall；F2 所涉共享发送组合语义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预算与不确定结果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原子多账户预留；Unknown 保留；实际成本和账本分离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真实服务必然满足全部费用上界；F1/F3 所涉观察正常闭合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故障与持久化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原始回执、检查点、租约、义务、容量及应用进程故障测试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数据库掉电、旧备份恢复 epoch、真实远端崩溃的一般保证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委派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在线衰减、祖先撤销、共同根与子额度账本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通用多 Agent 活性；自动子任务与责任交接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任务完成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Finished 与业务完成分离；显式 Close 与义务联合判断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任意任务必定完成；完整通用时序语言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信息流与模型调用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状态矩阵明确列为缺口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完整上下文标签、非干扰、受控 propose 与模型费用闭环</w:t>
            </w:r>
          </w:p>
        </w:tc>
      </w:tr>
      <w:tr>
        <w:trPr>
          <w:cantSplit/>
        </w:trPr>
        <w:tc>
          <w:tcPr>
            <w:tcW w:type="dxa" w:w="174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生产信任边界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本机认证 API 与消息绑定原型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生产身份及密钥隔离；主机、数据库和网络出口全中介</w:t>
            </w:r>
          </w:p>
        </w:tc>
      </w:tr>
    </w:tbl>
    <w:p>
      <w:pPr>
        <w:spacing w:after="20"/>
      </w:pPr>
    </w:p>
    <w:p>
      <w:r>
        <w:t>这个矩阵中的未完成项大多已在仓库准确披露，应作为阶段范围处理。F1 至 F4 则发生在当前已实现入口中，具有具体反例，应进入缺陷修复流程。两类事项不能混在一起，用尚未计划完成的生产模块稀释当前代码问题，也不能因为整体仍是原型就忽略已承诺的局部语义。</w:t>
      </w:r>
    </w:p>
    <w:p>
      <w:r>
        <w:t>同一 IR 产出运行检查器是有价值的方向，但当前状态模型与 Lean 仍是独立手写。工作流进入 SQL 和异步发送之后，统一谓词来源没有自动保证统一执行语义。F2 正好暴露这一点。</w:t>
      </w:r>
      <w:hyperlink r:id="rId27">
        <w:r>
          <w:rPr>
            <w:color w:val="244C72"/>
          </w:rPr>
          <w:t>[R13]</w:t>
        </w:r>
      </w:hyperlink>
      <w:r/>
    </w:p>
    <w:p>
      <w:pPr>
        <w:pStyle w:val="Heading1"/>
      </w:pPr>
      <w:r>
        <w:t>8 形式证明可以支持哪些结论</w:t>
      </w:r>
    </w:p>
    <w:p>
      <w:pPr>
        <w:pStyle w:val="Heading2"/>
      </w:pPr>
      <w:r>
        <w:t>8.1 三组机械证明</w:t>
      </w:r>
    </w:p>
    <w:p>
      <w:r>
        <w:t>以下保持性结论均要求对应初始不变量成立。P4 具体要求初态 AllValid、操作 ID 唯一且初始总承诺不超过限额，再仅执行模型允许的转移；它不保证修复任意不安全初态。</w:t>
      </w:r>
      <w:hyperlink r:id="rId28">
        <w:r>
          <w:rPr>
            <w:color w:val="244C72"/>
          </w:rPr>
          <w:t>[R16]</w:t>
        </w:r>
      </w:hyperlink>
      <w:r/>
      <w:hyperlink r:id="rId29">
        <w:r>
          <w:rPr>
            <w:color w:val="244C72"/>
          </w:rPr>
          <w:t>[R17]</w:t>
        </w:r>
      </w:hyperlink>
      <w:r/>
      <w:hyperlink r:id="rId30">
        <w:r>
          <w:rPr>
            <w:color w:val="244C72"/>
          </w:rPr>
          <w:t>[R19]</w:t>
        </w:r>
      </w:hyperlink>
      <w:r/>
    </w:p>
    <w:tbl>
      <w:tblPr>
        <w:tblW w:type="dxa" w:w="9993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3960"/>
        <w:gridCol w:w="4334"/>
      </w:tblGrid>
      <w:tr>
        <w:trPr>
          <w:cantSplit/>
          <w:tblHeader/>
        </w:trPr>
        <w:tc>
          <w:tcPr>
            <w:tcW w:type="dxa" w:w="169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证明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本次核查支持的结论</w:t>
            </w:r>
          </w:p>
        </w:tc>
        <w:tc>
          <w:tcPr>
            <w:tcW w:type="dxa" w:w="433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显式前提或边界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Core P1 P2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准入历史中各事件在其准入 epoch 下获授权，且许可不重复</w:t>
            </w:r>
          </w:p>
        </w:tc>
        <w:tc>
          <w:tcPr>
            <w:tcW w:type="dxa" w:w="433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authorized 是抽象谓词；不证明身份真实或远端恰好一次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Core P3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合法正常转移保持每账户 spent+pending 不超限</w:t>
            </w:r>
          </w:p>
        </w:tc>
        <w:tc>
          <w:tcPr>
            <w:tcW w:type="dxa" w:w="433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预留前检查全部账户；结算由旧预留覆盖；不等于 SQL 精化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CostBridge P4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合法运行中实际成本被 spent+remaining 覆盖并受限</w:t>
            </w:r>
          </w:p>
        </w:tc>
        <w:tc>
          <w:tcPr>
            <w:tcW w:type="dxa" w:w="433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全部实际费用有上界；部分观察真实单调；final 完整且以后不再计费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Delegation P7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合法链的权限衰减、当前祖先撤销门禁及共同账本上界</w:t>
            </w:r>
          </w:p>
        </w:tc>
        <w:tc>
          <w:tcPr>
            <w:tcW w:type="dxa" w:w="433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固定共同账本和限额；每次检查祖先账户；非一般组合或活性定理</w:t>
            </w:r>
          </w:p>
        </w:tc>
      </w:tr>
    </w:tbl>
    <w:p>
      <w:pPr>
        <w:spacing w:after="20"/>
      </w:pPr>
    </w:p>
    <w:p>
      <w:r>
        <w:t>这些内容分别可在 Core、CostBridge 与 Delegation 文件中定位。CostBridge 和 Delegation 还包含非空执行见证，不只是对空执行作蕴含证明。没有发现隐藏的自定义公理或 sorryAx；17 个审计声明的实际依赖仅为空、propext 或 propext 与 Quot.sound。应说“通过允许的公理依赖审计”，不应说“所有证明完全不依赖公理”。</w:t>
      </w:r>
      <w:hyperlink r:id="rId15">
        <w:r>
          <w:rPr>
            <w:color w:val="244C72"/>
          </w:rPr>
          <w:t>[R15]</w:t>
        </w:r>
      </w:hyperlink>
      <w:r/>
      <w:hyperlink r:id="rId28">
        <w:r>
          <w:rPr>
            <w:color w:val="244C72"/>
          </w:rPr>
          <w:t>[R16]</w:t>
        </w:r>
      </w:hyperlink>
      <w:r/>
      <w:hyperlink r:id="rId29">
        <w:r>
          <w:rPr>
            <w:color w:val="244C72"/>
          </w:rPr>
          <w:t>[R17]</w:t>
        </w:r>
      </w:hyperlink>
      <w:r/>
      <w:hyperlink r:id="rId31">
        <w:r>
          <w:rPr>
            <w:color w:val="244C72"/>
          </w:rPr>
          <w:t>[R18]</w:t>
        </w:r>
      </w:hyperlink>
      <w:r/>
      <w:hyperlink r:id="rId30">
        <w:r>
          <w:rPr>
            <w:color w:val="244C72"/>
          </w:rPr>
          <w:t>[R19]</w:t>
        </w:r>
      </w:hyperlink>
      <w:r/>
      <w:hyperlink r:id="rId10">
        <w:r>
          <w:rPr>
            <w:color w:val="244C72"/>
          </w:rPr>
          <w:t>[R23]</w:t>
        </w:r>
      </w:hyperlink>
      <w:r/>
    </w:p>
    <w:p>
      <w:r>
        <w:t>P4 的适配器真实性、完整费用覆盖和未来费用关闭是转移构造所需的证明前提，不是实现已经验证了真实服务会满足它们。正常定理与事故记录路径有不同职责：前者给条件保证，后者保留违反前提的事实并隔离；事故发生后不能继续无条件引用正常定理。</w:t>
      </w:r>
      <w:hyperlink r:id="rId32">
        <w:r>
          <w:rPr>
            <w:color w:val="244C72"/>
          </w:rPr>
          <w:t>[R14]</w:t>
        </w:r>
      </w:hyperlink>
      <w:r/>
    </w:p>
    <w:p>
      <w:pPr>
        <w:pStyle w:val="Heading2"/>
      </w:pPr>
      <w:r>
        <w:t>8.2 五个有限模型</w:t>
      </w:r>
    </w:p>
    <w:tbl>
      <w:tblPr>
        <w:tblW w:type="dxa" w:w="9993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1728"/>
        <w:gridCol w:w="1728"/>
        <w:gridCol w:w="2937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/>
                <w:sz w:val="20"/>
              </w:rPr>
              <w:t>可达状态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/>
                <w:sz w:val="20"/>
              </w:rPr>
              <w:t>转移边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DCE8F2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/>
                <w:sz w:val="20"/>
              </w:rPr>
              <w:t>检出的错误变体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双操作预算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114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445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义务容量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委派共享额度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实际费用桥接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41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135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</w:pPr>
            <w:r>
              <w:rPr>
                <w:b w:val="0"/>
                <w:sz w:val="20"/>
              </w:rPr>
              <w:t>发送与去重窗口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90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204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shd w:fill="FFFFFF"/>
          </w:tcPr>
          <w:p>
            <w:pPr>
              <w:keepNext w:val="0"/>
              <w:spacing w:after="40" w:before="40" w:line="269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</w:tr>
    </w:tbl>
    <w:p>
      <w:pPr>
        <w:spacing w:after="20"/>
      </w:pPr>
    </w:p>
    <w:p>
      <w:r>
        <w:t>上表为本次独立执行结果。状态按各模型的完整元组去重；边包括启用的幂等自环，不是完整轨迹数量。五个状态空间不能相加声称覆盖了整个系统。原始设计中的 54 状态预算模型与仓库现有 114 状态模型定义不同，也不能按状态数直接比较保证强弱。</w:t>
      </w:r>
    </w:p>
    <w:p>
      <w:r>
        <w:t>预算测试确实把 445 条模型边分别放在一条最短代表前缀后回放到参考内核，并比较相关状态。这比只执行模型有更强的实现证据，但没有穷举所有具体历史、所有回执排列或所有数据库工作流交错，更不是机械精化证明。</w:t>
      </w:r>
      <w:hyperlink r:id="rId33">
        <w:r>
          <w:rPr>
            <w:color w:val="244C72"/>
          </w:rPr>
          <w:t>[R22]</w:t>
        </w:r>
      </w:hyperlink>
      <w:r/>
    </w:p>
    <w:p>
      <w:pPr>
        <w:pStyle w:val="Heading2"/>
      </w:pPr>
      <w:r>
        <w:t>8.3 下一步应连接的证明关系</w:t>
      </w:r>
    </w:p>
    <w:p>
      <w:r>
        <w:t>最值得投入的是显式定义具体状态与抽象状态之间的对应关系：具体实现的一次合法转移，必须对应抽象系统允许的零步或多步转移，且保持账本、知识、权限及外部效果标签一致。不能把实际发送作为无事件的停顿，从而隐藏工作流不允许的效果。</w:t>
      </w:r>
    </w:p>
    <w:p>
      <w:r>
        <w:t>F1 可作为第一项精化负例：Final→Partial 不存在对应正常抽象转移。F2 可作为第二项组合负例：具体队列发送没有对应已执行的工作流 Send。先围绕观察合并、发送授权和 SQL 提交边界建立小范围对应，再扩大到整个系统，比继续增加互相独立的抽象定理更能提高当前代码的保证。</w:t>
      </w:r>
    </w:p>
    <w:p>
      <w:r>
        <w:t>在完整精化证明之前，可以用含显式消息队列的状态模型、模型与数据库轨迹差分、故障注入以及变异测试提供中间证据。结果仍应标记为有界检查或执行测试，不升级为 ProvedUnder。</w:t>
      </w:r>
    </w:p>
    <w:p>
      <w:pPr>
        <w:pStyle w:val="Heading1"/>
      </w:pPr>
      <w:r>
        <w:t>9 修复次序与验收门槛</w:t>
      </w:r>
    </w:p>
    <w:p>
      <w:pPr>
        <w:pStyle w:val="Heading2"/>
      </w:pPr>
      <w:r>
        <w:t>9.1 先闭合现有核心语义</w:t>
      </w:r>
    </w:p>
    <w:p>
      <w:r>
        <w:t>第一组修改处理 F1：先写观察偏序、最终知识保持和争议触发条件，再让内存内核与数据库投影共享同一合并结果。断言应覆盖终局知识单调性，不能只检查金额不为负或预算不超限。</w:t>
      </w:r>
    </w:p>
    <w:p>
      <w:r>
        <w:t>第二组修改处理 F2：明确操作的发送所有权、发送准备状态和显式交接。把“持久化 admitted 状态”和“授权 worker 现在发送”分开建模；审查所有读取 Pending 的入口及恢复路径，避免只修一个 SQL 查询而留下替代入口。</w:t>
      </w:r>
    </w:p>
    <w:p>
      <w:r>
        <w:t>第三组修改处理 F3 与 F4：建立金额域的闭合规则；统一历史运行的回放规则。每项修改附带本报告相应反例及其通过条件，禁止通过放宽证明模型、删除同键冲突检测或吞掉争议证据来让测试变绿。</w:t>
      </w:r>
    </w:p>
    <w:p>
      <w:pPr>
        <w:pStyle w:val="Heading2"/>
      </w:pPr>
      <w:r>
        <w:t>9.2 把模块组合纳入固定验证门禁</w:t>
      </w:r>
    </w:p>
    <w:p>
      <w:r>
        <w:t>现有测试已经细致覆盖很多单模块故障。下一轮应优先增加跨模块场景：Final 与迟到旧回执、任务关闭与回执投影、工作流分支与普通 sender、政策升级与幂等读取、合法金额边界与累计回执。每个场景都要同时检查实际效果 oracle 和持久状态，不只看接口返回成功。</w:t>
      </w:r>
    </w:p>
    <w:p>
      <w:r>
        <w:t>建议建立明确的发送追踪不变量：每个 SendAttemptAdmitted 都应能关联到允许发送的来源、操作 ID、请求绑定和事务内记录。对于工作流所有操作，还应关联 run_id、node_id 及相应控制流位置。这样，普通 sender 与工作流之间的归属错误可以直接被审计检查捕获。</w:t>
      </w:r>
    </w:p>
    <w:p>
      <w:r>
        <w:t>把现有验证脚本与本次回归用例接入每次提交的自动检查，固定 Python、Lean 和数据库版本，明确缺失工具或未运行阶段不能算通过。冻结报告应继续包含源码摘要、完整失败日志及每阶段状态；本次已经验证该证据方式能够对齐当前源码。</w:t>
      </w:r>
      <w:hyperlink r:id="rId10">
        <w:r>
          <w:rPr>
            <w:color w:val="244C72"/>
          </w:rPr>
          <w:t>[R23]</w:t>
        </w:r>
      </w:hyperlink>
      <w:r/>
      <w:hyperlink r:id="rId11">
        <w:r>
          <w:rPr>
            <w:color w:val="244C72"/>
          </w:rPr>
          <w:t>[R26]</w:t>
        </w:r>
      </w:hyperlink>
      <w:r/>
    </w:p>
    <w:p>
      <w:pPr>
        <w:pStyle w:val="Heading2"/>
      </w:pPr>
      <w:r>
        <w:t>9.3 按项目自己的阶段要求验收</w:t>
      </w:r>
    </w:p>
    <w:p>
      <w:r>
        <w:t>详细设计规定 M1 需要 R01、R02、R04、R05、R08、R09 的实现与反例覆盖完成，P1 至 P3 核心证明及依赖可审阅，并严格注明参考实现尚未机械精化。M2、M3 再按各自条款增加故障、委派、信息流及全中介范围。不能把所有生产能力任意提前塞进 M1，也不能跳过已支持工作流的发送组合缺陷。</w:t>
      </w:r>
      <w:hyperlink r:id="rId34">
        <w:r>
          <w:rPr>
            <w:color w:val="244C72"/>
          </w:rPr>
          <w:t>[R24]</w:t>
        </w:r>
      </w:hyperlink>
      <w:r/>
    </w:p>
    <w:p>
      <w:r>
        <w:t>当前三份证明和大量真实数据库测试是实质进展；F1、F2 仍使现有局部保证不能闭环。因此我支持仓库继续保持“M1 实现中，未达到发布门槛”的声明，完成上述修复并更新反例、模型与证据后再审查阶段升级。</w:t>
      </w:r>
      <w:hyperlink r:id="rId9">
        <w:r>
          <w:rPr>
            <w:color w:val="244C72"/>
          </w:rPr>
          <w:t>[R01]</w:t>
        </w:r>
      </w:hyperlink>
      <w:r/>
      <w:hyperlink r:id="rId32">
        <w:r>
          <w:rPr>
            <w:color w:val="244C72"/>
          </w:rPr>
          <w:t>[R14]</w:t>
        </w:r>
      </w:hyperlink>
      <w:r/>
    </w:p>
    <w:p>
      <w:pPr>
        <w:pStyle w:val="Heading1"/>
      </w:pPr>
      <w:r>
        <w:t>10 研究价值与工程后续</w:t>
      </w:r>
    </w:p>
    <w:p>
      <w:r>
        <w:t>原设计要求以相同政策、相同适配器、相同授权与账本保护的 Python 实现作为强基线。当前仓库尚未给出这类配对实验或完整 LLM 任务评测，因此已经展示了一个可验证执行核心的可行性，尚未证明独立语言在规范正确性、维护成本或安全任务完成率上的净收益。</w:t>
      </w:r>
      <w:hyperlink r:id="rId35">
        <w:r>
          <w:rPr>
            <w:color w:val="244C72"/>
          </w:rPr>
          <w:t>[R25]</w:t>
        </w:r>
      </w:hyperlink>
      <w:r/>
    </w:p>
    <w:p>
      <w:r>
        <w:t>后续实验应分别测执行保护与语言表达的贡献。固定任务、政策和工具版本，比较需求漏译、政策变更缺陷、作者用时、良性误拒绝、任务完成、长期 Unknown、重复效果以及端到端成本。安全终点应以独立服务的实际效果轨迹为准，而非仅统计监控器接受了多少条请求。</w:t>
      </w:r>
    </w:p>
    <w:p>
      <w:r>
        <w:t>本轮更适合收敛接口与证明对应，而不是继续增加语言命令。尤其是观察合并和异步发送的语义，值得成为共享内核中稳定、可单独验证的边界。修复 F1/F2 后，再推进通用时序条款、模型调用和信息流，可以减少在尚不稳定的基础之上叠加功能的成本。</w:t>
      </w:r>
    </w:p>
    <w:p>
      <w:pPr>
        <w:pStyle w:val="Heading1"/>
      </w:pPr>
      <w:r>
        <w:t>11 复现材料与使用方式</w:t>
      </w:r>
    </w:p>
    <w:p>
      <w:r>
        <w:t>随附 AVCL_Review_Reproduction_3e5c63f.zip 包含五个可移植探针、统一运行入口、中文说明、本次原有测试日志、Lean 原始输出及模型和证据摘要。五个探针分别覆盖 F1 的内存与数据库路径，以及 F2、F3、F4。它不包含仓库副本、数据库数据、工具链或运行凭据。</w:t>
      </w:r>
    </w:p>
    <w:p>
      <w:r>
        <w:t>复现时使用固定提交的独立 checkout，按包内 README 指定 --repo。无数据库配置时可执行三个内存探针；提供测试数据库配置后执行两个 PostgreSQL 探针。数据库探针创建独立随机 schema 并在结束时清理自身 schema。运行输出中的随机操作 ID、签名摘要与 schema 名会变化，缺陷判据与状态转换应一致。</w:t>
      </w:r>
    </w:p>
    <w:p>
      <w:r>
        <w:t>回执乱序探针使用受信服务端测试夹具为真实但较早的观察签名，用于模拟合法消息重排。它不意味着普通 Agent 可以取得签名密钥。outbox 探针使用普通宿主发送入口，远端启用信封校验，因而结果也不依赖直接调用未鉴权模拟接口。</w:t>
      </w:r>
    </w:p>
    <w:p>
      <w:r>
        <w:t>代码复现通过仅说明固定版本存在这些反例。修复之后应保留相同场景作为回归条件，同时更新预期行为；不能把“仍复现旧缺陷”当成产品测试成功。</w:t>
      </w:r>
    </w:p>
    <w:p>
      <w:pPr>
        <w:pStyle w:val="Heading1"/>
      </w:pPr>
      <w:r>
        <w:t>12 源代码依据</w:t>
      </w:r>
    </w:p>
    <w:p>
      <w:pPr>
        <w:pStyle w:val="AuditSource"/>
      </w:pPr>
      <w:r>
        <w:t>以下链接全部固定到同一完整提交，避免后续 main 变化使行号失去对应。正文中的编号可直接打开相应源码或规格。独立执行结果见随附复现材料。</w:t>
      </w:r>
    </w:p>
    <w:p>
      <w:pPr>
        <w:pStyle w:val="AuditSource"/>
        <w:keepLines/>
      </w:pPr>
      <w:r>
        <w:t>R01  README 的阶段声明与历史验证记录</w:t>
      </w:r>
      <w:r>
        <w:br/>
      </w:r>
      <w:hyperlink r:id="rId9">
        <w:r>
          <w:rPr>
            <w:color w:val="244C72"/>
          </w:rPr>
          <w:t>README.md#L3-L31</w:t>
        </w:r>
      </w:hyperlink>
    </w:p>
    <w:p>
      <w:pPr>
        <w:pStyle w:val="AuditSource"/>
        <w:keepLines/>
      </w:pPr>
      <w:r>
        <w:t>R02  工作流命令 效果 分支与重放规格</w:t>
      </w:r>
      <w:r>
        <w:br/>
      </w:r>
      <w:hyperlink r:id="rId18">
        <w:r>
          <w:rPr>
            <w:color w:val="244C72"/>
          </w:rPr>
          <w:t>avcl/spec/workflow-profile.md#L13-L58</w:t>
        </w:r>
      </w:hyperlink>
    </w:p>
    <w:p>
      <w:pPr>
        <w:pStyle w:val="AuditSource"/>
        <w:keepLines/>
      </w:pPr>
      <w:r>
        <w:t>R03  运行时回执合并和结算</w:t>
      </w:r>
      <w:r>
        <w:br/>
      </w:r>
      <w:hyperlink r:id="rId12">
        <w:r>
          <w:rPr>
            <w:color w:val="244C72"/>
          </w:rPr>
          <w:t>avcl/avcl/runtime.py#L425-L477</w:t>
        </w:r>
      </w:hyperlink>
    </w:p>
    <w:p>
      <w:pPr>
        <w:pStyle w:val="AuditSource"/>
        <w:keepLines/>
      </w:pPr>
      <w:r>
        <w:t>R04  回执鉴权 时间与累计金额解析</w:t>
      </w:r>
      <w:r>
        <w:br/>
      </w:r>
      <w:hyperlink r:id="rId13">
        <w:r>
          <w:rPr>
            <w:color w:val="244C72"/>
          </w:rPr>
          <w:t>avcl/avcl/receipt_envelope.py#L59-L89</w:t>
        </w:r>
      </w:hyperlink>
    </w:p>
    <w:p>
      <w:pPr>
        <w:pStyle w:val="AuditSource"/>
        <w:keepLines/>
      </w:pPr>
      <w:r>
        <w:t>R05  数据库保存时同步队列 义务与任务</w:t>
      </w:r>
      <w:r>
        <w:br/>
      </w:r>
      <w:hyperlink r:id="rId14">
        <w:r>
          <w:rPr>
            <w:color w:val="244C72"/>
          </w:rPr>
          <w:t>avcl/avcl/postgres.py#L134-L151</w:t>
        </w:r>
      </w:hyperlink>
    </w:p>
    <w:p>
      <w:pPr>
        <w:pStyle w:val="AuditSource"/>
        <w:keepLines/>
      </w:pPr>
      <w:r>
        <w:t>R06  通用 outbox 领取与信封签发</w:t>
      </w:r>
      <w:r>
        <w:br/>
      </w:r>
      <w:hyperlink r:id="rId21">
        <w:r>
          <w:rPr>
            <w:color w:val="244C72"/>
          </w:rPr>
          <w:t>avcl/avcl/postgres.py#L213-L241</w:t>
        </w:r>
      </w:hyperlink>
    </w:p>
    <w:p>
      <w:pPr>
        <w:pStyle w:val="AuditSource"/>
        <w:keepLines/>
      </w:pPr>
      <w:r>
        <w:t>R07  持久工作流操作归属与 Dispatch</w:t>
      </w:r>
      <w:r>
        <w:br/>
      </w:r>
      <w:hyperlink r:id="rId22">
        <w:r>
          <w:rPr>
            <w:color w:val="244C72"/>
          </w:rPr>
          <w:t>avcl/avcl/workflow_postgres.py#L164-L176</w:t>
        </w:r>
      </w:hyperlink>
    </w:p>
    <w:p>
      <w:pPr>
        <w:pStyle w:val="AuditSource"/>
        <w:keepLines/>
      </w:pPr>
      <w:r>
        <w:t>R08  Dispatch 与 Send 的静态效果推导</w:t>
      </w:r>
      <w:r>
        <w:br/>
      </w:r>
      <w:hyperlink r:id="rId19">
        <w:r>
          <w:rPr>
            <w:color w:val="244C72"/>
          </w:rPr>
          <w:t>avcl/avcl/workflow.py#L176-L196</w:t>
        </w:r>
      </w:hyperlink>
    </w:p>
    <w:p>
      <w:pPr>
        <w:pStyle w:val="AuditSource"/>
        <w:keepLines/>
      </w:pPr>
      <w:r>
        <w:t>R09  十八位十进制金额解析器</w:t>
      </w:r>
      <w:r>
        <w:br/>
      </w:r>
      <w:hyperlink r:id="rId23">
        <w:r>
          <w:rPr>
            <w:color w:val="244C72"/>
          </w:rPr>
          <w:t>avcl/avcl/canonical.py#L17-L20</w:t>
        </w:r>
      </w:hyperlink>
    </w:p>
    <w:p>
      <w:pPr>
        <w:pStyle w:val="AuditSource"/>
        <w:keepLines/>
      </w:pPr>
      <w:r>
        <w:t>R10  本金与手续费合成预留上界</w:t>
      </w:r>
      <w:r>
        <w:br/>
      </w:r>
      <w:hyperlink r:id="rId24">
        <w:r>
          <w:rPr>
            <w:color w:val="244C72"/>
          </w:rPr>
          <w:t>avcl/avcl/runtime.py#L150-L160</w:t>
        </w:r>
      </w:hyperlink>
    </w:p>
    <w:p>
      <w:pPr>
        <w:pStyle w:val="AuditSource"/>
        <w:keepLines/>
      </w:pPr>
      <w:r>
        <w:t>R11  内存工作流加载与缓存查询顺序</w:t>
      </w:r>
      <w:r>
        <w:br/>
      </w:r>
      <w:hyperlink r:id="rId25">
        <w:r>
          <w:rPr>
            <w:color w:val="244C72"/>
          </w:rPr>
          <w:t>avcl/avcl/workflow_runtime.py#L50-L88</w:t>
        </w:r>
      </w:hyperlink>
    </w:p>
    <w:p>
      <w:pPr>
        <w:pStyle w:val="AuditSource"/>
        <w:keepLines/>
      </w:pPr>
      <w:r>
        <w:t>R12  持久工作流重放使用历史合约</w:t>
      </w:r>
      <w:r>
        <w:br/>
      </w:r>
      <w:hyperlink r:id="rId26">
        <w:r>
          <w:rPr>
            <w:color w:val="244C72"/>
          </w:rPr>
          <w:t>avcl/avcl/workflow_postgres.py#L41-L48</w:t>
        </w:r>
      </w:hyperlink>
    </w:p>
    <w:p>
      <w:pPr>
        <w:pStyle w:val="AuditSource"/>
        <w:keepLines/>
      </w:pPr>
      <w:r>
        <w:t>R13  需求实现状态矩阵</w:t>
      </w:r>
      <w:r>
        <w:br/>
      </w:r>
      <w:hyperlink r:id="rId27">
        <w:r>
          <w:rPr>
            <w:color w:val="244C72"/>
          </w:rPr>
          <w:t>avcl/spec/implementation-status.md#L34-L52</w:t>
        </w:r>
      </w:hyperlink>
    </w:p>
    <w:p>
      <w:pPr>
        <w:pStyle w:val="AuditSource"/>
        <w:keepLines/>
      </w:pPr>
      <w:r>
        <w:t>R14  定理边界 依赖与未完成工作</w:t>
      </w:r>
      <w:r>
        <w:br/>
      </w:r>
      <w:hyperlink r:id="rId32">
        <w:r>
          <w:rPr>
            <w:color w:val="244C72"/>
          </w:rPr>
          <w:t>avcl/spec/implementation-status.md#L79-L98</w:t>
        </w:r>
      </w:hyperlink>
    </w:p>
    <w:p>
      <w:pPr>
        <w:pStyle w:val="AuditSource"/>
        <w:keepLines/>
      </w:pPr>
      <w:r>
        <w:t>R15  费用桥接的阶段 合法转移与暴露单调性</w:t>
      </w:r>
      <w:r>
        <w:br/>
      </w:r>
      <w:hyperlink r:id="rId15">
        <w:r>
          <w:rPr>
            <w:color w:val="244C72"/>
          </w:rPr>
          <w:t>avcl/formal/lean/CostBridge.lean#L25-L110</w:t>
        </w:r>
      </w:hyperlink>
    </w:p>
    <w:p>
      <w:pPr>
        <w:pStyle w:val="AuditSource"/>
        <w:keepLines/>
      </w:pPr>
      <w:r>
        <w:t>R16  实际成本预算定理与非空见证</w:t>
      </w:r>
      <w:r>
        <w:br/>
      </w:r>
      <w:hyperlink r:id="rId28">
        <w:r>
          <w:rPr>
            <w:color w:val="244C72"/>
          </w:rPr>
          <w:t>avcl/formal/lean/CostBridge.lean#L173-L234</w:t>
        </w:r>
      </w:hyperlink>
    </w:p>
    <w:p>
      <w:pPr>
        <w:pStyle w:val="AuditSource"/>
        <w:keepLines/>
      </w:pPr>
      <w:r>
        <w:t>R17  Core 的账本与准入历史证明</w:t>
      </w:r>
      <w:r>
        <w:br/>
      </w:r>
      <w:hyperlink r:id="rId29">
        <w:r>
          <w:rPr>
            <w:color w:val="244C72"/>
          </w:rPr>
          <w:t>avcl/formal/lean/Core.lean#L1-L129</w:t>
        </w:r>
      </w:hyperlink>
    </w:p>
    <w:p>
      <w:pPr>
        <w:pStyle w:val="AuditSource"/>
        <w:keepLines/>
      </w:pPr>
      <w:r>
        <w:t>R18  权限衰减与祖先撤销证明</w:t>
      </w:r>
      <w:r>
        <w:br/>
      </w:r>
      <w:hyperlink r:id="rId31">
        <w:r>
          <w:rPr>
            <w:color w:val="244C72"/>
          </w:rPr>
          <w:t>avcl/formal/lean/Delegation.lean#L24-L112</w:t>
        </w:r>
      </w:hyperlink>
    </w:p>
    <w:p>
      <w:pPr>
        <w:pStyle w:val="AuditSource"/>
        <w:keepLines/>
      </w:pPr>
      <w:r>
        <w:t>R19  共同账本与委派组合证明</w:t>
      </w:r>
      <w:r>
        <w:br/>
      </w:r>
      <w:hyperlink r:id="rId30">
        <w:r>
          <w:rPr>
            <w:color w:val="244C72"/>
          </w:rPr>
          <w:t>avcl/formal/lean/Delegation.lean#L194-L359</w:t>
        </w:r>
      </w:hyperlink>
    </w:p>
    <w:p>
      <w:pPr>
        <w:pStyle w:val="AuditSource"/>
        <w:keepLines/>
      </w:pPr>
      <w:r>
        <w:t>R20  费用模型对 Final 重放的处理</w:t>
      </w:r>
      <w:r>
        <w:br/>
      </w:r>
      <w:hyperlink r:id="rId16">
        <w:r>
          <w:rPr>
            <w:color w:val="244C72"/>
          </w:rPr>
          <w:t>avcl/models/cost_bridge_model.py#L45-L70</w:t>
        </w:r>
      </w:hyperlink>
    </w:p>
    <w:p>
      <w:pPr>
        <w:pStyle w:val="AuditSource"/>
        <w:keepLines/>
      </w:pPr>
      <w:r>
        <w:t>R21  费用桥接规格的范围限制</w:t>
      </w:r>
      <w:r>
        <w:br/>
      </w:r>
      <w:hyperlink r:id="rId17">
        <w:r>
          <w:rPr>
            <w:color w:val="244C72"/>
          </w:rPr>
          <w:t>avcl/spec/formal-cost-bridge-profile.md#L54-L82</w:t>
        </w:r>
      </w:hyperlink>
    </w:p>
    <w:p>
      <w:pPr>
        <w:pStyle w:val="AuditSource"/>
        <w:keepLines/>
      </w:pPr>
      <w:r>
        <w:t>R22  有限预算模型边回放测试</w:t>
      </w:r>
      <w:r>
        <w:br/>
      </w:r>
      <w:hyperlink r:id="rId33">
        <w:r>
          <w:rPr>
            <w:color w:val="244C72"/>
          </w:rPr>
          <w:t>avcl/tests/test_model.py#L17-L44</w:t>
        </w:r>
      </w:hyperlink>
    </w:p>
    <w:p>
      <w:pPr>
        <w:pStyle w:val="AuditSource"/>
        <w:keepLines/>
      </w:pPr>
      <w:r>
        <w:t>R23  Lean 编译与严格公理依赖门禁</w:t>
      </w:r>
      <w:r>
        <w:br/>
      </w:r>
      <w:hyperlink r:id="rId10">
        <w:r>
          <w:rPr>
            <w:color w:val="244C72"/>
          </w:rPr>
          <w:t>avcl/scripts/verify.py#L32-L95</w:t>
        </w:r>
      </w:hyperlink>
    </w:p>
    <w:p>
      <w:pPr>
        <w:pStyle w:val="AuditSource"/>
        <w:keepLines/>
      </w:pPr>
      <w:r>
        <w:t>R24  详细设计的分阶段发布门槛</w:t>
      </w:r>
      <w:r>
        <w:br/>
      </w:r>
      <w:hyperlink r:id="rId34">
        <w:r>
          <w:rPr>
            <w:color w:val="244C72"/>
          </w:rPr>
          <w:t>.design-work/design.md#L745-L749</w:t>
        </w:r>
      </w:hyperlink>
    </w:p>
    <w:p>
      <w:pPr>
        <w:pStyle w:val="AuditSource"/>
        <w:keepLines/>
      </w:pPr>
      <w:r>
        <w:t>R25  详细设计的复现 性能与语言价值实验</w:t>
      </w:r>
      <w:r>
        <w:br/>
      </w:r>
      <w:hyperlink r:id="rId35">
        <w:r>
          <w:rPr>
            <w:color w:val="244C72"/>
          </w:rPr>
          <w:t>.design-work/design.md#L727-L743</w:t>
        </w:r>
      </w:hyperlink>
    </w:p>
    <w:p>
      <w:pPr>
        <w:pStyle w:val="AuditSource"/>
        <w:keepLines/>
      </w:pPr>
      <w:r>
        <w:t>R26  当前源码对应的最新冻结验证报告</w:t>
      </w:r>
      <w:r>
        <w:br/>
      </w:r>
      <w:hyperlink r:id="rId11">
        <w:r>
          <w:rPr>
            <w:color w:val="244C72"/>
          </w:rPr>
          <w:t>avcl/evidence/20261025T202705.069248Z/verification.json</w:t>
        </w:r>
      </w:hyperlink>
    </w:p>
    <w:p>
      <w:pPr>
        <w:pStyle w:val="AuditSource"/>
        <w:keepLines/>
      </w:pPr>
      <w:r>
        <w:t>R27  工作流 Dispatch 与 Send 的设计决策</w:t>
      </w:r>
      <w:r>
        <w:br/>
      </w:r>
      <w:hyperlink r:id="rId20">
        <w:r>
          <w:rPr>
            <w:color w:val="244C72"/>
          </w:rPr>
          <w:t>avcl/spec/reference-decisions.md#L49-L51</w:t>
        </w:r>
      </w:hyperlink>
    </w:p>
    <w:sectPr w:rsidR="00FC693F" w:rsidRPr="0006063C" w:rsidSect="00034616">
      <w:footerReference w:type="default" r:id="rId36"/>
      <w:pgSz w:w="12240" w:h="15840"/>
      <w:pgMar w:top="979" w:right="1123" w:bottom="979" w:left="1123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AVCL 审核  3e5c63f  |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20"/>
    </w:pPr>
    <w:rPr>
      <w:rFonts w:ascii="Noto Sans CJK SC" w:hAnsi="Noto Sans CJK SC" w:eastAsia="Noto Sans CJK SC" w:cs="Noto Sans CJK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69" w:lineRule="auto"/>
      <w:outlineLvl w:val="0"/>
    </w:pPr>
    <w:rPr>
      <w:rFonts w:ascii="Noto Sans CJK SC" w:hAnsi="Noto Sans CJK SC" w:eastAsia="Noto Sans CJK SC" w:cs="Noto Sans CJK SC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269" w:lineRule="auto"/>
      <w:outlineLvl w:val="1"/>
    </w:pPr>
    <w:rPr>
      <w:rFonts w:ascii="Noto Sans CJK SC" w:hAnsi="Noto Sans CJK SC" w:eastAsia="Noto Sans CJK SC" w:cs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 w:line="269" w:lineRule="auto"/>
      <w:outlineLvl w:val="2"/>
    </w:pPr>
    <w:rPr>
      <w:rFonts w:ascii="Noto Sans CJK SC" w:hAnsi="Noto Sans CJK SC" w:eastAsia="Noto Sans CJK SC" w:cs="Noto Sans CJK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69" w:lineRule="auto" w:before="0"/>
      <w:contextualSpacing/>
    </w:pPr>
    <w:rPr>
      <w:rFonts w:ascii="Noto Sans CJK SC" w:hAnsi="Noto Sans CJK SC" w:eastAsia="Noto Sans CJK SC" w:cs="Noto Sans CJK SC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 w:line="269" w:lineRule="auto"/>
    </w:pPr>
    <w:rPr>
      <w:rFonts w:ascii="Noto Sans CJK SC" w:hAnsi="Noto Sans CJK SC" w:eastAsia="Noto Sans CJK SC" w:cs="Noto Sans CJK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Code">
    <w:name w:val="Audit Code"/>
    <w:basedOn w:val="Normal"/>
    <w:pPr>
      <w:spacing w:line="264" w:lineRule="auto" w:after="100"/>
    </w:pPr>
    <w:rPr>
      <w:rFonts w:ascii="DejaVu Sans Mono" w:hAnsi="DejaVu Sans Mono" w:eastAsia="DejaVu Sans Mono" w:cs="DejaVu Sans Mono"/>
      <w:b w:val="0"/>
      <w:i w:val="0"/>
      <w:color w:val="000000"/>
      <w:sz w:val="19"/>
    </w:rPr>
  </w:style>
  <w:style w:type="paragraph" w:customStyle="1" w:styleId="AuditSource">
    <w:name w:val="Audit Source"/>
    <w:basedOn w:val="Normal"/>
    <w:pPr>
      <w:spacing w:line="264" w:lineRule="auto" w:after="100"/>
    </w:pPr>
    <w:rPr>
      <w:rFonts w:ascii="Noto Sans CJK SC" w:hAnsi="Noto Sans CJK SC" w:eastAsia="Noto Sans CJK SC" w:cs="Noto Sans CJK SC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tephCpa/AgentFormalVarification/blob/3e5c63f4b44b31cdbceb9a4b9c056c949ef12276/README.md#L3-L31" TargetMode="External"/><Relationship Id="rId10" Type="http://schemas.openxmlformats.org/officeDocument/2006/relationships/hyperlink" Target="https://github.com/StephCpa/AgentFormalVarification/blob/3e5c63f4b44b31cdbceb9a4b9c056c949ef12276/avcl/scripts/verify.py#L32-L95" TargetMode="External"/><Relationship Id="rId11" Type="http://schemas.openxmlformats.org/officeDocument/2006/relationships/hyperlink" Target="https://github.com/StephCpa/AgentFormalVarification/blob/3e5c63f4b44b31cdbceb9a4b9c056c949ef12276/avcl/evidence/20261025T202705.069248Z/verification.json" TargetMode="External"/><Relationship Id="rId12" Type="http://schemas.openxmlformats.org/officeDocument/2006/relationships/hyperlink" Target="https://github.com/StephCpa/AgentFormalVarification/blob/3e5c63f4b44b31cdbceb9a4b9c056c949ef12276/avcl/avcl/runtime.py#L425-L477" TargetMode="External"/><Relationship Id="rId13" Type="http://schemas.openxmlformats.org/officeDocument/2006/relationships/hyperlink" Target="https://github.com/StephCpa/AgentFormalVarification/blob/3e5c63f4b44b31cdbceb9a4b9c056c949ef12276/avcl/avcl/receipt_envelope.py#L59-L89" TargetMode="External"/><Relationship Id="rId14" Type="http://schemas.openxmlformats.org/officeDocument/2006/relationships/hyperlink" Target="https://github.com/StephCpa/AgentFormalVarification/blob/3e5c63f4b44b31cdbceb9a4b9c056c949ef12276/avcl/avcl/postgres.py#L134-L151" TargetMode="External"/><Relationship Id="rId15" Type="http://schemas.openxmlformats.org/officeDocument/2006/relationships/hyperlink" Target="https://github.com/StephCpa/AgentFormalVarification/blob/3e5c63f4b44b31cdbceb9a4b9c056c949ef12276/avcl/formal/lean/CostBridge.lean#L25-L110" TargetMode="External"/><Relationship Id="rId16" Type="http://schemas.openxmlformats.org/officeDocument/2006/relationships/hyperlink" Target="https://github.com/StephCpa/AgentFormalVarification/blob/3e5c63f4b44b31cdbceb9a4b9c056c949ef12276/avcl/models/cost_bridge_model.py#L45-L70" TargetMode="External"/><Relationship Id="rId17" Type="http://schemas.openxmlformats.org/officeDocument/2006/relationships/hyperlink" Target="https://github.com/StephCpa/AgentFormalVarification/blob/3e5c63f4b44b31cdbceb9a4b9c056c949ef12276/avcl/spec/formal-cost-bridge-profile.md#L54-L82" TargetMode="External"/><Relationship Id="rId18" Type="http://schemas.openxmlformats.org/officeDocument/2006/relationships/hyperlink" Target="https://github.com/StephCpa/AgentFormalVarification/blob/3e5c63f4b44b31cdbceb9a4b9c056c949ef12276/avcl/spec/workflow-profile.md#L13-L58" TargetMode="External"/><Relationship Id="rId19" Type="http://schemas.openxmlformats.org/officeDocument/2006/relationships/hyperlink" Target="https://github.com/StephCpa/AgentFormalVarification/blob/3e5c63f4b44b31cdbceb9a4b9c056c949ef12276/avcl/avcl/workflow.py#L176-L196" TargetMode="External"/><Relationship Id="rId20" Type="http://schemas.openxmlformats.org/officeDocument/2006/relationships/hyperlink" Target="https://github.com/StephCpa/AgentFormalVarification/blob/3e5c63f4b44b31cdbceb9a4b9c056c949ef12276/avcl/spec/reference-decisions.md#L49-L51" TargetMode="External"/><Relationship Id="rId21" Type="http://schemas.openxmlformats.org/officeDocument/2006/relationships/hyperlink" Target="https://github.com/StephCpa/AgentFormalVarification/blob/3e5c63f4b44b31cdbceb9a4b9c056c949ef12276/avcl/avcl/postgres.py#L213-L241" TargetMode="External"/><Relationship Id="rId22" Type="http://schemas.openxmlformats.org/officeDocument/2006/relationships/hyperlink" Target="https://github.com/StephCpa/AgentFormalVarification/blob/3e5c63f4b44b31cdbceb9a4b9c056c949ef12276/avcl/avcl/workflow_postgres.py#L164-L176" TargetMode="External"/><Relationship Id="rId23" Type="http://schemas.openxmlformats.org/officeDocument/2006/relationships/hyperlink" Target="https://github.com/StephCpa/AgentFormalVarification/blob/3e5c63f4b44b31cdbceb9a4b9c056c949ef12276/avcl/avcl/canonical.py#L17-L20" TargetMode="External"/><Relationship Id="rId24" Type="http://schemas.openxmlformats.org/officeDocument/2006/relationships/hyperlink" Target="https://github.com/StephCpa/AgentFormalVarification/blob/3e5c63f4b44b31cdbceb9a4b9c056c949ef12276/avcl/avcl/runtime.py#L150-L160" TargetMode="External"/><Relationship Id="rId25" Type="http://schemas.openxmlformats.org/officeDocument/2006/relationships/hyperlink" Target="https://github.com/StephCpa/AgentFormalVarification/blob/3e5c63f4b44b31cdbceb9a4b9c056c949ef12276/avcl/avcl/workflow_runtime.py#L50-L88" TargetMode="External"/><Relationship Id="rId26" Type="http://schemas.openxmlformats.org/officeDocument/2006/relationships/hyperlink" Target="https://github.com/StephCpa/AgentFormalVarification/blob/3e5c63f4b44b31cdbceb9a4b9c056c949ef12276/avcl/avcl/workflow_postgres.py#L41-L48" TargetMode="External"/><Relationship Id="rId27" Type="http://schemas.openxmlformats.org/officeDocument/2006/relationships/hyperlink" Target="https://github.com/StephCpa/AgentFormalVarification/blob/3e5c63f4b44b31cdbceb9a4b9c056c949ef12276/avcl/spec/implementation-status.md#L34-L52" TargetMode="External"/><Relationship Id="rId28" Type="http://schemas.openxmlformats.org/officeDocument/2006/relationships/hyperlink" Target="https://github.com/StephCpa/AgentFormalVarification/blob/3e5c63f4b44b31cdbceb9a4b9c056c949ef12276/avcl/formal/lean/CostBridge.lean#L173-L234" TargetMode="External"/><Relationship Id="rId29" Type="http://schemas.openxmlformats.org/officeDocument/2006/relationships/hyperlink" Target="https://github.com/StephCpa/AgentFormalVarification/blob/3e5c63f4b44b31cdbceb9a4b9c056c949ef12276/avcl/formal/lean/Core.lean#L1-L129" TargetMode="External"/><Relationship Id="rId30" Type="http://schemas.openxmlformats.org/officeDocument/2006/relationships/hyperlink" Target="https://github.com/StephCpa/AgentFormalVarification/blob/3e5c63f4b44b31cdbceb9a4b9c056c949ef12276/avcl/formal/lean/Delegation.lean#L194-L359" TargetMode="External"/><Relationship Id="rId31" Type="http://schemas.openxmlformats.org/officeDocument/2006/relationships/hyperlink" Target="https://github.com/StephCpa/AgentFormalVarification/blob/3e5c63f4b44b31cdbceb9a4b9c056c949ef12276/avcl/formal/lean/Delegation.lean#L24-L112" TargetMode="External"/><Relationship Id="rId32" Type="http://schemas.openxmlformats.org/officeDocument/2006/relationships/hyperlink" Target="https://github.com/StephCpa/AgentFormalVarification/blob/3e5c63f4b44b31cdbceb9a4b9c056c949ef12276/avcl/spec/implementation-status.md#L79-L98" TargetMode="External"/><Relationship Id="rId33" Type="http://schemas.openxmlformats.org/officeDocument/2006/relationships/hyperlink" Target="https://github.com/StephCpa/AgentFormalVarification/blob/3e5c63f4b44b31cdbceb9a4b9c056c949ef12276/avcl/tests/test_model.py#L17-L44" TargetMode="External"/><Relationship Id="rId34" Type="http://schemas.openxmlformats.org/officeDocument/2006/relationships/hyperlink" Target="https://github.com/StephCpa/AgentFormalVarification/blob/3e5c63f4b44b31cdbceb9a4b9c056c949ef12276/.design-work/design.md#L745-L749" TargetMode="External"/><Relationship Id="rId35" Type="http://schemas.openxmlformats.org/officeDocument/2006/relationships/hyperlink" Target="https://github.com/StephCpa/AgentFormalVarification/blob/3e5c63f4b44b31cdbceb9a4b9c056c949ef12276/.design-work/design.md#L727-L743" TargetMode="External"/><Relationship Id="rId3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AVCL 仓库设计与实现审核</dc:title>
  <dc:subject>固定提交设计一致性 运行语义 形式证明与独立复现</dc:subject>
  <dc:creator>ChatGPT</dc:creator>
  <cp:keywords>AVCL; formal verification; code review; reproducible findings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