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面向大模型智能体的数据结构设计</w:t>
      </w:r>
    </w:p>
    <w:p>
      <w:pPr>
        <w:pStyle w:val="Subtitle"/>
        <w:keepNext/>
      </w:pPr>
      <w:r>
        <w:t>研究依据 形式化模型 操作语义与验证方案</w:t>
      </w:r>
    </w:p>
    <w:p>
      <w:pPr>
        <w:spacing w:after="300"/>
      </w:pPr>
      <w:r>
        <w:rPr>
          <w:sz w:val="19"/>
        </w:rPr>
        <w:t>研究与设计报告  2026年10月24日</w:t>
      </w:r>
    </w:p>
    <w:p>
      <w:pPr>
        <w:spacing w:after="140"/>
      </w:pPr>
      <w:r>
        <w:rPr>
          <w:b/>
        </w:rPr>
        <w:t>设计结论：</w:t>
      </w:r>
      <w:r>
        <w:t>建议构建带版本与证据依赖的 Agent 状态图。它以不可变的类型化记录和事务提交历史为基础，把观察、主张、任务、动作意图、授权、执行回执和产物联系起来；当前知识图、向量索引和工作上下文由这些记录投影生成。本文将该抽象数据类型暂记为 ASG。名称仅用于讨论，不表示已经形成新标准或证明了学术新颖性。</w:t>
      </w:r>
    </w:p>
    <w:p>
      <w:pPr>
        <w:spacing w:after="140"/>
      </w:pPr>
      <w:r>
        <w:t>适用对象是使用大模型、工具和外部环境的 Agent，重点是跨轮任务、多个 Agent 协作、证据更新和中断恢复。研究对象是模型之外的持久状态结构，不包括模型权重、推理 KV cache 或完整操作系统。设计处于文献核查与规范评审阶段，本文没有把拟议实验写成已完成结果。</w:t>
      </w:r>
    </w:p>
    <w:p>
      <w:pPr>
        <w:pStyle w:val="Heading1"/>
      </w:pPr>
      <w:r>
        <w:t>1 先明确要解决的问题</w:t>
      </w:r>
    </w:p>
    <w:p>
      <w:pPr>
        <w:spacing w:after="140"/>
      </w:pPr>
      <w:r>
        <w:t>一个能长期工作的 Agent，不只需要记住文本，还需要区分自己收到了什么、据此相信什么、准备做什么、被允许做什么、实际做成了什么。若这些信息都压进聊天历史或同一段摘要，系统很难判断一个结论是否过时、一项工作是否真的完成，以及一次超时的操作是否已经改变外部世界。</w:t>
      </w:r>
    </w:p>
    <w:p>
      <w:pPr>
        <w:spacing w:after="140"/>
      </w:pPr>
      <w:r>
        <w:t>本设计围绕五类查询建立契约：某结论有哪些当前可用的依据；某决定当时看到了哪些材料版本；某行动的目标和内容是否仍被授权；证据更正后哪些任务必须重评；进程重启后哪些步骤可以继续而哪些结果仍未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520"/>
        <w:gridCol w:w="3168"/>
        <w:gridCol w:w="4248"/>
      </w:tblGrid>
      <w:tr>
        <w:trPr>
          <w:cantSplit/>
          <w:tblHeader/>
        </w:trPr>
        <w:tc>
          <w:tcPr>
            <w:tcW w:type="dxa" w:w="2520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要求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需要表达的状态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对应机制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R1 来源可追溯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原始材料与派生断言分离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Observation 和 Claim 引用具体版本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R2 更新不抹去历史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当时知道什么与现在认可什么不同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追加修订记录及双时间查询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R3 冲突可见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支持与反证可以同时存在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独立 Justification 及冲突视图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R4 多 Agent 一致性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并发修改与共享额度约束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版本检查和原子资源预留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R5 行动可恢复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意图 回执与结果未知分离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Intent Attempt Receipt 状态机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R6 授权不漂移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批准的操作与实际操作一致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参数 内容 目标和主体绑定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R7 上下文可解释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本次模型实际看到的资料集合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ContextManifest 和预算投影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R8 可撤回可删除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删除不能被旧快照重新恢复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当前策略门控与删除域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R9 成本可控制</w:t>
            </w:r>
          </w:p>
        </w:tc>
        <w:tc>
          <w:tcPr>
            <w:tcW w:type="dxa" w:w="316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检索和维护不能无限增长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分层索引 增量维护 有界查询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1"/>
      </w:pPr>
      <w:r>
        <w:t>2 深入调研得到的边界</w:t>
      </w:r>
    </w:p>
    <w:p>
      <w:pPr>
        <w:pStyle w:val="Heading2"/>
      </w:pPr>
      <w:r>
        <w:t>2 1  记忆已经从文本列表发展为多种结构</w:t>
      </w:r>
    </w:p>
    <w:p>
      <w:pPr>
        <w:spacing w:after="140"/>
      </w:pPr>
      <w:r>
        <w:t>MemGPT 把主上下文与外部记忆分开，明确说明模型当前可见内容只是已保存信息的一部分。A-MEM 用包含内容、时间、标签、语境、向量和链接的笔记组织记忆，并由模型建立关联。Mem0 通过抽取及 ADD、UPDATE、DELETE 等操作整理事实。这些方法分别有助于上下文调度、组织和维护，但上述机制本身没有给出跨 Agent 事务或外部动作的完整语义。[S1–S3]</w:t>
      </w:r>
    </w:p>
    <w:p>
      <w:pPr>
        <w:spacing w:after="140"/>
      </w:pPr>
      <w:r>
        <w:t>Zep 的 Graphiti 以 episode 保存输入，并维护实体、事实和社区摘要。其双时间设计区分系统接收或失效时间与事实有效时间，语义边可以追溯来源 episode。论文明确说明来源连接本身未直接纳入实验，因此不能把可追溯性当成已经验证的全链路可靠性。更不能把新到达的消息直接理解为更可信的事实。[S4]</w:t>
      </w:r>
    </w:p>
    <w:p>
      <w:pPr>
        <w:spacing w:after="140"/>
      </w:pPr>
      <w:r>
        <w:t>2026 年的 MAGMA 已把语义、时间、实体和所谓因果关系组织成多个图视图。这里的因果边由模型进行结构推断；实验中的问答收益不能证明真实因果关系。其局限部分承认错误或遗漏边可以传播。Agent Zero Memory 则组合事件时间线、实体事件图和带引用的层级文档记忆。因此，多视图、来源链和不可破坏的历史都已有近邻工作。[S5–S6]</w:t>
      </w:r>
    </w:p>
    <w:p>
      <w:pPr>
        <w:spacing w:after="140"/>
      </w:pPr>
      <w:r>
        <w:t>Agent Zero Memory 的引用约束把已读取材料与回答联系起来，但引用存在、材料已读与材料真正支持某个结论，是不同检查。本文只借鉴其来源约束，不接受结构本身足以消除所有语义编造的推论。论文的三类记忆组件独立消融仍属后续工作，也不应仅凭榜单数字推断各模块贡献。[S6]</w:t>
      </w:r>
    </w:p>
    <w:p>
      <w:pPr>
        <w:spacing w:after="140"/>
      </w:pPr>
      <w:r>
        <w:t>Portable Agent Memory 讨论跨模型记忆迁移，采用多种记忆类型、Merkle DAG、能力范围和重载过程。它说明带来源的可移植记忆也已有明确提案；其试验规模和领域仍有限。内容完整性验证可以发现某些篡改，却不会自动证明内容真实性、当前权限或注入防御的普遍有效性。[S7]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592"/>
        <w:gridCol w:w="3672"/>
        <w:gridCol w:w="3672"/>
      </w:tblGrid>
      <w:tr>
        <w:trPr>
          <w:cantSplit/>
          <w:tblHeader/>
        </w:trPr>
        <w:tc>
          <w:tcPr>
            <w:tcW w:type="dxa" w:w="259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路线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可借鉴的结构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本设计需要补足的契约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MemGPT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上下文与外存分层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本次读取的精确版本与当前授权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A-MEM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原子笔记与关联网络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关系类型 支持语义与历史修订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Mem0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抽取与记忆维护操作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更正历史 冲突证据与删除影响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Graphiti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来源 episode 与双时间图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来源可信差异及执行前提失效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MAGMA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同一记忆的多个关系视图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逻辑关联与真实因果的区别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Agent Zero Memory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事件 图 文档及引用约束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逐主张支持检查和执行状态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Portable Agent Memory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可迁移记录与完整性校验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当前访问策略和外部动作效果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2"/>
      </w:pPr>
      <w:r>
        <w:t>2 2  执行恢复与知识正确性需要分别建模</w:t>
      </w:r>
    </w:p>
    <w:p>
      <w:pPr>
        <w:spacing w:after="140"/>
      </w:pPr>
      <w:r>
        <w:t>LangGraph 区分线程范围的 checkpointer 和跨线程的 store。前者保存执行快照，后者保存应用定义的长期数据；已成功节点的 pending writes 能帮助恢复。它们回答运行到哪里，与事实是否依然成立，是两组问题。任务恢复还必须考虑副作用幂等性。[S9–S11]</w:t>
      </w:r>
    </w:p>
    <w:p>
      <w:pPr>
        <w:spacing w:after="140"/>
      </w:pPr>
      <w:r>
        <w:t>Temporal 通过命令及事件历史恢复工作流。官方文档明确描述了活动已在外部成功、工作进程却在上报前崩溃的情况：活动可能被重试，幂等性由被调用服务参与实施。这个窗口无法靠本地成功标记消除。因此，动作意图、每次尝试、外部回执和结果未知必须独立表示。[S12–S13]</w:t>
      </w:r>
    </w:p>
    <w:p>
      <w:pPr>
        <w:pStyle w:val="Heading2"/>
      </w:pPr>
      <w:r>
        <w:t>2 3  通信协议提供适配边界而非完整内部状态</w:t>
      </w:r>
    </w:p>
    <w:p>
      <w:pPr>
        <w:spacing w:after="140"/>
      </w:pPr>
      <w:r>
        <w:t>截至核验日期，MCP 的固定规范页面为 2026-07-28，提供工具、资源等交互，Tasks 属于可选扩展。A2A 官方页面标示发布版 1.0.0，区分 Task、Message 与 Artifact；Send Message 的幂等性是可选语义。内部持久身份与恢复能力不能依赖任意服务都实施了可选能力。[S14–S15]</w:t>
      </w:r>
    </w:p>
    <w:p>
      <w:pPr>
        <w:spacing w:after="140"/>
      </w:pPr>
      <w:r>
        <w:t>A2A 的 7.6.4 节尤其关键：进入 AUTH_REQUIRED 状态本身不是操作授权，操作如何识别以及授权如何检查由实现方、签发者或扩展定义。这直接支持把审批绑定具体操作内容的设计，但不意味着这种绑定思想首次提出。CloudEvents 可提供事件封套，事件去重仍不能代替业务操作幂等。[S15,S24]</w:t>
      </w:r>
    </w:p>
    <w:p>
      <w:pPr>
        <w:pStyle w:val="Heading2"/>
      </w:pPr>
      <w:r>
        <w:t>2 4  旧理论仍然决定设计是否严谨</w:t>
      </w:r>
    </w:p>
    <w:p>
      <w:pPr>
        <w:spacing w:after="140"/>
      </w:pPr>
      <w:r>
        <w:t>W3C PROV-DM 已区分实体、活动、责任主体、派生、修订和失效；ATMS 研究假设与支持关系的维护；provenance semirings 研究如何表达输出依赖哪些输入。这些是本文依赖结构的理论来源。它们年代较早，但作为基础理论必须保留，不能把旧概念重新包装成 Agent 专属发明。[S16–S18]</w:t>
      </w:r>
    </w:p>
    <w:p>
      <w:pPr>
        <w:spacing w:after="140"/>
      </w:pPr>
      <w:r>
        <w:t>本次调研是针对数据模型、更新语义和故障边界的定向研究，主要参考 2024–2026 年工作及一手规范，不构成对所有 Agent 记忆产品的穷尽排名。没有复现各论文的实验，也不直接拼接不同模型、数据划分和评判器下的分数。</w:t>
      </w:r>
    </w:p>
    <w:p>
      <w:pPr>
        <w:pStyle w:val="Heading1"/>
      </w:pPr>
      <w:r>
        <w:t>3 从需求推导结构选择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04"/>
        <w:gridCol w:w="3384"/>
        <w:gridCol w:w="4248"/>
      </w:tblGrid>
      <w:tr>
        <w:trPr>
          <w:cantSplit/>
          <w:tblHeader/>
        </w:trPr>
        <w:tc>
          <w:tcPr>
            <w:tcW w:type="dxa" w:w="2304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候选设计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适用优点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成为唯一结构时的不足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消息数组加摘要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易实现 适合短任务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状态需从自然语言重新推断 摘要可能覆盖来源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向量记忆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语义检索方便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近似相似不表达授权 事务或依赖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无版本知识图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实体关系直观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难重建历史 冲突修改缺少基线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每步完整快照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恢复读取直接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存储放大大 不自动解决外部效果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所有关系组成 DAG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易做拓扑处理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语义关系本来可以成环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类型化版本记录加投影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兼顾历史 依赖与执行契约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写入与索引维护更复杂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spacing w:after="140"/>
      </w:pPr>
      <w:r>
        <w:t>选择最后一项。这里的核心是一种抽象数据类型和操作代数：允许哪些记录、哪些引用合法、状态在什么前提下可以变化。关系数据库、图数据库、向量索引、对象存储是实现选择。MVP 不需要同时部署所有数据库，也不需要创造新的存储引擎。</w:t>
      </w:r>
    </w:p>
    <w:p>
      <w:pPr>
        <w:spacing w:after="140"/>
      </w:pPr>
      <w:r>
        <w:t>对于单次问答、没有外部写操作且历史很短的应用，消息列表加明确任务状态可能足够。ASG 主要服务证据频繁变化、任务长期运行、多 Agent 共享状态或外部操作结果必须审计的工作负载。</w:t>
      </w:r>
    </w:p>
    <w:p>
      <w:pPr>
        <w:pStyle w:val="Heading1"/>
      </w:pPr>
      <w:r>
        <w:t>4 形式化定义与权威状态</w:t>
      </w:r>
    </w:p>
    <w:p>
      <w:pPr>
        <w:spacing w:after="140"/>
      </w:pPr>
      <w:r>
        <w:t>设一个工作空间的提交历史为 L，每个提交包含一批不可变记录及其确定性状态转换。记录集合为 R，载荷集合为 B，当前状态图和索引统称投影 V。逻辑对象 ID 跨版本稳定；记录 ID 标识某个确定版本。历史日志是系统接纳过哪些记录的依据，不是外部世界真值的证明。</w:t>
      </w:r>
    </w:p>
    <w:p>
      <w:pPr>
        <w:keepLines/>
        <w:spacing w:before="80" w:after="160"/>
        <w:jc w:val="center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w:rPr>
                    <w:rFonts w:ascii="Latin Modern Math" w:hAnsi="Latin Modern Math"/>
                    <w:sz w:val="24"/>
                  </w:rPr>
                  <m:rPr>
                    <m:sty m:val="p"/>
                    <m:scr m:val="script"/>
                  </m:rPr>
                  <m:t>A</m:t>
                </m:r>
              </m:e>
              <m:e>
                <m:r>
                  <w:rPr>
                    <w:rFonts w:ascii="Latin Modern Math" w:hAnsi="Latin Modern Math"/>
                    <w:sz w:val="24"/>
                  </w:rP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w:rPr>
                        <w:rFonts w:ascii="Latin Modern Math" w:hAnsi="Latin Modern Math"/>
                        <w:sz w:val="24"/>
                      </w:rPr>
                      <m:rPr>
                        <m:sty m:val="p"/>
                        <m:scr m:val="script"/>
                      </m:rPr>
                      <m:t>R</m:t>
                    </m:r>
                    <m:r>
                      <w:rPr>
                        <w:rFonts w:ascii="Latin Modern Math" w:hAnsi="Latin Modern Math"/>
                        <w:sz w:val="24"/>
                      </w:rPr>
                      <m:rPr>
                        <m:sty m:val="p"/>
                      </m:rPr>
                      <m:t>,</m:t>
                    </m:r>
                    <m:r>
                      <w:rPr>
                        <w:rFonts w:ascii="Latin Modern Math" w:hAnsi="Latin Modern Math"/>
                        <w:sz w:val="24"/>
                      </w:rPr>
                      <m:rPr>
                        <m:sty m:val="p"/>
                        <m:scr m:val="script"/>
                      </m:rPr>
                      <m:t>L</m:t>
                    </m:r>
                    <m:r>
                      <w:rPr>
                        <w:rFonts w:ascii="Latin Modern Math" w:hAnsi="Latin Modern Math"/>
                        <w:sz w:val="24"/>
                      </w:rPr>
                      <m:rPr>
                        <m:sty m:val="p"/>
                      </m:rPr>
                      <m:t>,</m:t>
                    </m:r>
                    <m:r>
                      <w:rPr>
                        <w:rFonts w:ascii="Latin Modern Math" w:hAnsi="Latin Modern Math"/>
                        <w:sz w:val="24"/>
                      </w:rPr>
                      <m:rPr>
                        <m:sty m:val="p"/>
                        <m:scr m:val="script"/>
                      </m:rPr>
                      <m:t>B</m:t>
                    </m:r>
                    <m:r>
                      <w:rPr>
                        <w:rFonts w:ascii="Latin Modern Math" w:hAnsi="Latin Modern Math"/>
                        <w:sz w:val="24"/>
                      </w:rPr>
                      <m:rPr>
                        <m:sty m:val="p"/>
                      </m:rPr>
                      <m:t>,</m:t>
                    </m:r>
                    <m:r>
                      <w:rPr>
                        <w:rFonts w:ascii="Latin Modern Math" w:hAnsi="Latin Modern Math"/>
                        <w:sz w:val="24"/>
                      </w:rPr>
                      <m:t>Π</m:t>
                    </m:r>
                  </m:e>
                </m:d>
                <m:r>
                  <w:rPr>
                    <w:rFonts w:ascii="Latin Modern Math" w:hAnsi="Latin Modern Math"/>
                    <w:sz w:val="24"/>
                  </w:rPr>
                  <m:rPr>
                    <m:sty m:val="p"/>
                  </m:rPr>
                  <m:t>,</m:t>
                </m:r>
              </m:e>
            </m:mr>
            <m:mr>
              <m:e>
                <m:sSubSup>
                  <m:e>
                    <m:r>
                      <w:rPr>
                        <w:rFonts w:ascii="Latin Modern Math" w:hAnsi="Latin Modern Math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Latin Modern Math" w:hAnsi="Latin Modern Math"/>
                        <w:sz w:val="24"/>
                      </w:rPr>
                      <m:t>b</m:t>
                    </m:r>
                    <m:r>
                      <w:rPr>
                        <w:rFonts w:ascii="Latin Modern Math" w:hAnsi="Latin Modern Math"/>
                        <w:sz w:val="24"/>
                      </w:rPr>
                      <m:rPr>
                        <m:sty m:val="p"/>
                      </m:rPr>
                      <m:t>,</m:t>
                    </m:r>
                    <m:r>
                      <w:rPr>
                        <w:rFonts w:ascii="Latin Modern Math" w:hAnsi="Latin Modern Math"/>
                        <w:sz w:val="24"/>
                      </w:rPr>
                      <m:t>n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rFonts w:ascii="Latin Modern Math" w:hAnsi="Latin Modern Math"/>
                            <w:sz w:val="24"/>
                          </w:rPr>
                          <m:t>p</m:t>
                        </m:r>
                      </m:e>
                    </m:d>
                  </m:sup>
                </m:sSubSup>
              </m:e>
              <m:e>
                <m:r>
                  <w:rPr>
                    <w:rFonts w:ascii="Latin Modern Math" w:hAnsi="Latin Modern Math"/>
                    <w:sz w:val="24"/>
                  </w:rPr>
                  <m:rPr>
                    <m:sty m:val="p"/>
                  </m:rPr>
                  <m:t>=</m:t>
                </m:r>
                <m:r>
                  <w:rPr>
                    <w:rFonts w:ascii="Latin Modern Math" w:hAnsi="Latin Modern Math"/>
                    <w:sz w:val="24"/>
                  </w:rPr>
                  <m:rPr>
                    <m:sty m:val="p"/>
                  </m:rPr>
                  <m:t>fold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w:rPr>
                            <w:rFonts w:ascii="Latin Modern Math" w:hAnsi="Latin Modern Math"/>
                            <w:sz w:val="24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Latin Modern Math" w:hAnsi="Latin Modern Math"/>
                            <w:sz w:val="24"/>
                          </w:rPr>
                          <m:t>p</m:t>
                        </m:r>
                      </m:sub>
                    </m:sSub>
                    <m:r>
                      <w:rPr>
                        <w:rFonts w:ascii="Latin Modern Math" w:hAnsi="Latin Modern Math"/>
                        <w:sz w:val="24"/>
                      </w:rP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w:rPr>
                            <w:rFonts w:ascii="Latin Modern Math" w:hAnsi="Latin Modern Math"/>
                            <w:sz w:val="24"/>
                          </w:rPr>
                          <m:rPr>
                            <m:sty m:val="p"/>
                          </m:rPr>
                          <m:t>select</m:t>
                        </m:r>
                      </m:e>
                      <m:sub>
                        <m:r>
                          <w:rPr>
                            <w:rFonts w:ascii="Latin Modern Math" w:hAnsi="Latin Modern Math"/>
                            <w:sz w:val="24"/>
                          </w:rPr>
                          <m:t>b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w:rPr>
                                <w:rFonts w:ascii="Latin Modern Math" w:hAnsi="Latin Modern Math"/>
                                <w:sz w:val="24"/>
                              </w:rPr>
                              <m:rPr>
                                <m:sty m:val="p"/>
                                <m:scr m:val="script"/>
                              </m:rPr>
                              <m:t>L</m:t>
                            </m:r>
                          </m:e>
                          <m:sub>
                            <m:r>
                              <w:rPr>
                                <w:rFonts w:ascii="Latin Modern Math" w:hAnsi="Latin Modern Math"/>
                                <w:sz w:val="24"/>
                              </w:rPr>
                              <m:rPr>
                                <m:sty m:val="p"/>
                              </m:rPr>
                              <m:t>≤</m:t>
                            </m:r>
                            <m:r>
                              <w:rPr>
                                <w:rFonts w:ascii="Latin Modern Math" w:hAnsi="Latin Modern Math"/>
                                <w:sz w:val="24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d>
              </m:e>
            </m:mr>
          </m:m>
        </m:oMath>
      </m:oMathPara>
    </w:p>
    <w:p>
      <w:pPr>
        <w:spacing w:after="140"/>
      </w:pPr>
      <w:r>
        <w:t>Pi 是固定版本的纯状态转换器。select_b 只取分支 b 可达的业务记录；公共效果与预算日志仍由工作空间共享。恢复状态时输入已经记录的模型输出、工具回执和审批结果，不再调用模型或外部工具。重新向模型提问属于新运行；保留同一随机种子也不能笼统承诺云模型输出相同。若载荷已按策略删除，则只能恢复可保留的状态，不能恢复已删除正文。</w:t>
      </w:r>
    </w:p>
    <w:p>
      <w:pPr>
        <w:keepLines/>
        <w:spacing w:line="259" w:lineRule="auto" w:before="100" w:after="180"/>
        <w:ind w:left="187" w:right="72"/>
        <w:contextualSpacing w:val="0"/>
      </w:pPr>
      <w:r>
        <w:rPr>
          <w:rFonts w:ascii="DejaVu Sans Mono" w:hAnsi="DejaVu Sans Mono" w:cs="DejaVu Sans Mono"/>
          <w:sz w:val="20"/>
        </w:rPr>
        <w:t>Record {</w:t>
        <w:br/>
        <w:t xml:space="preserve">  record_id, object_id, workspace_id,</w:t>
        <w:br/>
        <w:t xml:space="preserve">  kind, schema_version,</w:t>
        <w:br/>
        <w:t xml:space="preserve">  authenticated_writer, asserted_source,</w:t>
        <w:br/>
        <w:t xml:space="preserve">  recorded_at, payload_ref,</w:t>
        <w:br/>
        <w:t xml:space="preserve">  prior_revision_ids[],</w:t>
        <w:br/>
        <w:t xml:space="preserve">  typed_refs[], policy_domain</w:t>
        <w:br/>
        <w:t>}</w:t>
      </w:r>
    </w:p>
    <w:p>
      <w:pPr>
        <w:keepLines/>
        <w:spacing w:line="259" w:lineRule="auto" w:before="100" w:after="180"/>
        <w:ind w:left="187" w:right="72"/>
        <w:contextualSpacing w:val="0"/>
      </w:pPr>
      <w:r>
        <w:rPr>
          <w:rFonts w:ascii="DejaVu Sans Mono" w:hAnsi="DejaVu Sans Mono" w:cs="DejaVu Sans Mono"/>
          <w:sz w:val="20"/>
        </w:rPr>
        <w:t>Commit {</w:t>
        <w:br/>
        <w:t xml:space="preserve">  workspace_id, branch_id, sequence,</w:t>
        <w:br/>
        <w:t xml:space="preserve">  previous_commit_id,</w:t>
        <w:br/>
        <w:t xml:space="preserve">  record_ids[], reducer_version,</w:t>
        <w:br/>
        <w:t xml:space="preserve">  request_id, request_digest</w:t>
        <w:br/>
        <w:t>}</w:t>
      </w:r>
    </w:p>
    <w:p>
      <w:pPr>
        <w:keepLines/>
        <w:spacing w:line="259" w:lineRule="auto" w:before="100" w:after="180"/>
        <w:ind w:left="187" w:right="72"/>
        <w:contextualSpacing w:val="0"/>
      </w:pPr>
      <w:r>
        <w:rPr>
          <w:rFonts w:ascii="DejaVu Sans Mono" w:hAnsi="DejaVu Sans Mono" w:cs="DejaVu Sans Mono"/>
          <w:sz w:val="20"/>
        </w:rPr>
        <w:t>Snapshot {</w:t>
        <w:br/>
        <w:t xml:space="preserve">  workspace_id, branch_id, branch_head,</w:t>
        <w:br/>
        <w:t xml:space="preserve">  sequence, reducer_version,</w:t>
        <w:br/>
        <w:t xml:space="preserve">  validation_epoch, policy_epoch</w:t>
        <w:br/>
        <w:t>}</w:t>
      </w:r>
    </w:p>
    <w:p>
      <w:pPr>
        <w:spacing w:after="140"/>
      </w:pPr>
      <w:r>
        <w:t>recorded_at 和提交序号由可信写入服务分配，不能相信模型填写的作者或时间。asserted_source 记录材料声称来自谁，与已认证的实际写入者不同。request_id 重复但 request_digest 不同应拒绝，不能把一个幂等键用于两个请求。ID 应是租户范围内的不可猜测标识；哈希主要用于完整性和内容绑定，不公开暴露敏感低熵内容的摘要。</w:t>
      </w:r>
    </w:p>
    <w:p>
      <w:pPr>
        <w:pStyle w:val="Heading2"/>
      </w:pPr>
      <w:r>
        <w:t>4 1  三种关系不能混为一张无类型图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872"/>
        <w:gridCol w:w="3744"/>
        <w:gridCol w:w="4320"/>
      </w:tblGrid>
      <w:tr>
        <w:trPr>
          <w:cantSplit/>
          <w:tblHeader/>
        </w:trPr>
        <w:tc>
          <w:tcPr>
            <w:tcW w:type="dxa" w:w="187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关系层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边的含义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结构限制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版本与已声明派生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新记录使用哪些旧版本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指向已存在或同批前序记录 构成 DAG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语义关系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属于 相似 联系 等领域关系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允许成环 每条边保留来源和类型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控制与执行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前置条件 授权 任务归属 尝试回执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按各自状态机验证 不能由相似度推导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spacing w:after="140"/>
      </w:pPr>
      <w:r>
        <w:t>派生边表示系统记录的使用关系，而不是现实世界中的因果效应。A 信任 B 与 B 信任 A 可以同时存在；但一个新版本不能把未来版本当作自己已经使用的输入。循环的主张互相引用不能凭空产生支持，必须有可用观察或显式假设作为根据。</w:t>
      </w:r>
    </w:p>
    <w:p>
      <w:pPr>
        <w:pStyle w:val="Heading2"/>
      </w:pPr>
      <w:r>
        <w:t>4 2  四类核心记录与具体类型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440"/>
        <w:gridCol w:w="4320"/>
        <w:gridCol w:w="4176"/>
      </w:tblGrid>
      <w:tr>
        <w:trPr>
          <w:cantSplit/>
          <w:tblHeader/>
        </w:trPr>
        <w:tc>
          <w:tcPr>
            <w:tcW w:type="dxa" w:w="1440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具体记录</w:t>
            </w:r>
          </w:p>
        </w:tc>
        <w:tc>
          <w:tcPr>
            <w:tcW w:type="dxa" w:w="4176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必须保留的信息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证据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Observation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原始位置 内容版本 来源身份 采集时间 模态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主张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Claim Justification Assessment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命题 适用条件 支持或反证关系 评估方法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工作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TaskRevision ActionIntent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目标 验收条件 前置版本 参数与资源需求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执行与产物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Grant Attempt Receipt Artifact ContextManifest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授权范围 外部效果 内容版本 本次实际上下文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spacing w:after="140"/>
      </w:pPr>
      <w:r>
        <w:t>这四类是阅读层面的分组，具体 schema 使用带 kind 判别的类型联合。Grant 只能由被允许的签发者创建，Receipt 只能由执行网关或可信接入产生；Agent 可以提出记录建议，但不能自行签发权限或把自己的成功描述写成已验证回执。类型检查和权限检查由代码执行。</w:t>
      </w:r>
    </w:p>
    <w:p>
      <w:pPr>
        <w:pStyle w:val="Heading1"/>
      </w:pPr>
      <w:r>
        <w:t>5 证据与主张如何更新</w:t>
      </w:r>
    </w:p>
    <w:p>
      <w:pPr>
        <w:pStyle w:val="Heading2"/>
      </w:pPr>
      <w:r>
        <w:t>5 1  观察记录不等于事实</w:t>
      </w:r>
    </w:p>
    <w:p>
      <w:pPr>
        <w:spacing w:after="140"/>
      </w:pPr>
      <w:r>
        <w:t>Observation 说明某来源在某时刻返回了某段内容。网页声称一个项目已完成，与项目已通过验收，必须形成不同命题。多模态证据也遵循同样原则：PDF 引用页和片段，图像引用区域，音视频引用时间段，数据表引用版本和行键；转录和 OCR 是另一个有来源的派生记录。</w:t>
      </w:r>
    </w:p>
    <w:p>
      <w:pPr>
        <w:spacing w:after="140"/>
      </w:pPr>
      <w:r>
        <w:t>Claim 保存结构化命题或受约束文本、实体标识、适用范围、单位、时间限定、提出者和候选状态。相同姓名不能自动合并为同一实体，实体合并也是可撤销、有依据的记录。对只能用自然语言表达的主张，应承认其矛盾判断依赖模型或人工评估。</w:t>
      </w:r>
    </w:p>
    <w:p>
      <w:pPr>
        <w:pStyle w:val="Heading2"/>
      </w:pPr>
      <w:r>
        <w:t>5 2  支持关系必须区分并用与择一</w:t>
      </w:r>
    </w:p>
    <w:p>
      <w:pPr>
        <w:spacing w:after="140"/>
      </w:pPr>
      <w:r>
        <w:t>普通 supports 列表无法表达两个关键区别：某结论可能必须同时依赖 E1 和 E2，也可能只要独立来源 E3 就足够。Justification 因而保存 AND 组及 OR 分支。支持和反证分别建组；推理规则或验证器本身也有版本及依赖。</w:t>
      </w:r>
    </w:p>
    <w:p>
      <w:pPr>
        <w:keepLines/>
        <w:spacing w:before="80" w:after="160"/>
        <w:jc w:val="center"/>
      </w:pPr>
      <m:oMathPara>
        <m:oMathParaPr>
          <m:jc m:val="center"/>
        </m:oMathParaPr>
        <m:oMath>
          <m:r>
            <w:rPr>
              <w:rFonts w:ascii="Latin Modern Math" w:hAnsi="Latin Modern Math"/>
              <w:sz w:val="24"/>
            </w:rPr>
            <m:rPr>
              <m:sty m:val="p"/>
            </m:rPr>
            <m:t>Support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Latin Modern Math" w:hAnsi="Latin Modern Math"/>
                  <w:sz w:val="24"/>
                </w:rPr>
                <m:t>c</m:t>
              </m:r>
            </m:e>
          </m:d>
          <m:r>
            <w:rPr>
              <w:rFonts w:ascii="Latin Modern Math" w:hAnsi="Latin Modern Math"/>
              <w:sz w:val="24"/>
            </w:rPr>
            <m:rPr>
              <m:sty m:val="p"/>
            </m:rPr>
            <m:t>=</m:t>
          </m:r>
          <m:limLow>
            <m:e>
              <m:r>
                <w:rPr>
                  <w:rFonts w:ascii="Latin Modern Math" w:hAnsi="Latin Modern Math"/>
                  <w:sz w:val="24"/>
                </w:rPr>
                <m:rPr>
                  <m:sty m:val="p"/>
                </m:rPr>
                <m:t>⋁</m:t>
              </m:r>
            </m:e>
            <m:lim>
              <m:r>
                <w:rPr>
                  <w:rFonts w:ascii="Latin Modern Math" w:hAnsi="Latin Modern Math"/>
                  <w:sz w:val="24"/>
                </w:rPr>
                <m:t>J</m:t>
              </m:r>
              <m:r>
                <w:rPr>
                  <w:rFonts w:ascii="Latin Modern Math" w:hAnsi="Latin Modern Math"/>
                  <w:sz w:val="24"/>
                </w:rPr>
                <m:rPr>
                  <m:sty m:val="p"/>
                </m:rPr>
                <m:t>∈</m:t>
              </m:r>
              <m:sSup>
                <m:e>
                  <m:r>
                    <w:rPr>
                      <w:rFonts w:ascii="Latin Modern Math" w:hAnsi="Latin Modern Math"/>
                      <w:sz w:val="24"/>
                    </w:rPr>
                    <m:rPr>
                      <m:sty m:val="p"/>
                      <m:scr m:val="script"/>
                    </m:rPr>
                    <m:t>J</m:t>
                  </m:r>
                </m:e>
                <m:sup>
                  <m:r>
                    <w:rPr>
                      <w:rFonts w:ascii="Latin Modern Math" w:hAnsi="Latin Modern Math"/>
                      <w:sz w:val="24"/>
                    </w:rPr>
                    <m:rPr>
                      <m:sty m:val="p"/>
                    </m:rPr>
                    <m:t>+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Latin Modern Math" w:hAnsi="Latin Modern Math"/>
                      <w:sz w:val="24"/>
                    </w:rPr>
                    <m:t>c</m:t>
                  </m:r>
                </m:e>
              </m:d>
            </m:lim>
          </m:limLow>
          <m:r>
            <w:rPr>
              <w:rFonts w:ascii="Latin Modern Math" w:hAnsi="Latin Modern Math"/>
              <w:sz w:val="24"/>
            </w:rPr>
            <m:t> </m:t>
          </m:r>
          <m:limLow>
            <m:e>
              <m:r>
                <w:rPr>
                  <w:rFonts w:ascii="Latin Modern Math" w:hAnsi="Latin Modern Math"/>
                  <w:sz w:val="24"/>
                </w:rPr>
                <m:rPr>
                  <m:sty m:val="p"/>
                </m:rPr>
                <m:t>⋀</m:t>
              </m:r>
            </m:e>
            <m:lim>
              <m:r>
                <w:rPr>
                  <w:rFonts w:ascii="Latin Modern Math" w:hAnsi="Latin Modern Math"/>
                  <w:sz w:val="24"/>
                </w:rPr>
                <m:t>e</m:t>
              </m:r>
              <m:r>
                <w:rPr>
                  <w:rFonts w:ascii="Latin Modern Math" w:hAnsi="Latin Modern Math"/>
                  <w:sz w:val="24"/>
                </w:rPr>
                <m:rPr>
                  <m:sty m:val="p"/>
                </m:rPr>
                <m:t>∈</m:t>
              </m:r>
              <m:r>
                <w:rPr>
                  <w:rFonts w:ascii="Latin Modern Math" w:hAnsi="Latin Modern Math"/>
                  <w:sz w:val="24"/>
                </w:rPr>
                <m:t>J</m:t>
              </m:r>
            </m:lim>
          </m:limLow>
          <m:r>
            <w:rPr>
              <w:rFonts w:ascii="Latin Modern Math" w:hAnsi="Latin Modern Math"/>
              <w:sz w:val="24"/>
            </w:rPr>
            <m:rPr>
              <m:sty m:val="p"/>
            </m:rPr>
            <m:t>Eligible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Latin Modern Math" w:hAnsi="Latin Modern Math"/>
                  <w:sz w:val="24"/>
                </w:rPr>
                <m:t>e</m:t>
              </m:r>
            </m:e>
          </m:d>
        </m:oMath>
      </m:oMathPara>
    </w:p>
    <w:p>
      <w:pPr>
        <w:keepLines/>
        <w:spacing w:before="80" w:after="160"/>
        <w:jc w:val="center"/>
      </w:pPr>
      <m:oMathPara>
        <m:oMathParaPr>
          <m:jc m:val="center"/>
        </m:oMathParaPr>
        <m:oMath>
          <m:r>
            <w:rPr>
              <w:rFonts w:ascii="Latin Modern Math" w:hAnsi="Latin Modern Math"/>
              <w:sz w:val="24"/>
            </w:rPr>
            <m:rPr>
              <m:sty m:val="p"/>
            </m:rPr>
            <m:t>Support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Latin Modern Math" w:hAnsi="Latin Modern Math"/>
                  <w:sz w:val="24"/>
                </w:rPr>
                <m:t>c</m:t>
              </m:r>
            </m:e>
          </m:d>
          <m:r>
            <w:rPr>
              <w:rFonts w:ascii="Latin Modern Math" w:hAnsi="Latin Modern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w:rPr>
                      <w:rFonts w:ascii="Latin Modern Math" w:hAnsi="Latin Modern Math"/>
                      <w:sz w:val="24"/>
                    </w:rPr>
                    <m:t>e</m:t>
                  </m:r>
                </m:e>
                <m:sub>
                  <m:r>
                    <w:rPr>
                      <w:rFonts w:ascii="Latin Modern Math" w:hAnsi="Latin Modern Math"/>
                      <w:sz w:val="24"/>
                    </w:rPr>
                    <m:t>1</m:t>
                  </m:r>
                </m:sub>
              </m:sSub>
              <m:r>
                <w:rPr>
                  <w:rFonts w:ascii="Latin Modern Math" w:hAnsi="Latin Modern Math"/>
                  <w:sz w:val="24"/>
                </w:rPr>
                <m:rPr>
                  <m:sty m:val="p"/>
                </m:rPr>
                <m:t>∧</m:t>
              </m:r>
              <m:sSub>
                <m:e>
                  <m:r>
                    <w:rPr>
                      <w:rFonts w:ascii="Latin Modern Math" w:hAnsi="Latin Modern Math"/>
                      <w:sz w:val="24"/>
                    </w:rPr>
                    <m:t>e</m:t>
                  </m:r>
                </m:e>
                <m:sub>
                  <m:r>
                    <w:rPr>
                      <w:rFonts w:ascii="Latin Modern Math" w:hAnsi="Latin Modern Math"/>
                      <w:sz w:val="24"/>
                    </w:rPr>
                    <m:t>2</m:t>
                  </m:r>
                </m:sub>
              </m:sSub>
            </m:e>
          </m:d>
          <m:r>
            <w:rPr>
              <w:rFonts w:ascii="Latin Modern Math" w:hAnsi="Latin Modern Math"/>
              <w:sz w:val="24"/>
            </w:rPr>
            <m:rPr>
              <m:sty m:val="p"/>
            </m:rPr>
            <m:t>∨</m:t>
          </m:r>
          <m:sSub>
            <m:e>
              <m:r>
                <w:rPr>
                  <w:rFonts w:ascii="Latin Modern Math" w:hAnsi="Latin Modern Math"/>
                  <w:sz w:val="24"/>
                </w:rPr>
                <m:t>e</m:t>
              </m:r>
            </m:e>
            <m:sub>
              <m:r>
                <w:rPr>
                  <w:rFonts w:ascii="Latin Modern Math" w:hAnsi="Latin Modern Math"/>
                  <w:sz w:val="24"/>
                </w:rPr>
                <m:t>3</m:t>
              </m:r>
            </m:sub>
          </m:sSub>
        </m:oMath>
      </m:oMathPara>
    </w:p>
    <w:p>
      <w:pPr>
        <w:spacing w:after="140"/>
      </w:pPr>
      <w:r>
        <w:t>若 E1 被撤回，第一条支持路径失效；E3 仍合格时，结论仍可能有支持。无差别撤销所有后代会误删独立有效支持，只删除 E1 又可能留下失效的派生结论。该表达继承真值维护和数据溯源思想，而不是新的概率模型。[S17–S18]</w:t>
      </w:r>
    </w:p>
    <w:p>
      <w:pPr>
        <w:spacing w:after="140"/>
      </w:pPr>
      <w:r>
        <w:t>Eligible 仅表示在指定查询范围、时间和策略下，这份证据可被使用且相关验证尚有效。它不表示该证据一定为真。支持图的语义正确性取决于解析、规则和审核；纯数据结构只能维护已经声明的依赖。未记录的隐含前提仍会造成漏失效。</w:t>
      </w:r>
    </w:p>
    <w:p>
      <w:pPr>
        <w:pStyle w:val="Heading2"/>
      </w:pPr>
      <w:r>
        <w:t>5 3  用证据状态代替伪精确置信度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440"/>
        <w:gridCol w:w="1440"/>
        <w:gridCol w:w="7056"/>
      </w:tblGrid>
      <w:tr>
        <w:trPr>
          <w:cantSplit/>
          <w:tblHeader/>
        </w:trPr>
        <w:tc>
          <w:tcPr>
            <w:tcW w:type="dxa" w:w="1440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支持位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反证位</w:t>
            </w:r>
          </w:p>
        </w:tc>
        <w:tc>
          <w:tcPr>
            <w:tcW w:type="dxa" w:w="7056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结构性含义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目前没有合格支持或反证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存在合格支持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存在合格反证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存在争议 必须展示或裁决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spacing w:after="140"/>
      </w:pPr>
      <w:r>
        <w:t>四态表达证据关系，不是形式真值，也不是概率校准结果。模型置信度可以作为带方法和校准集版本的附加统计量，不能作为准入的唯一依据。十个 Agent 转述同一网页，应保留同一个根来源谱系，不能按十份独立证据计算。来源独立性无法仅靠不同 URL 保证。</w:t>
      </w:r>
    </w:p>
    <w:p>
      <w:pPr>
        <w:spacing w:after="140"/>
      </w:pPr>
      <w:r>
        <w:t>证据四态之外，分别保存 freshness、visibility、retention 和 assessment_status。例如 stale、restricted、purged 与 contradicted 含义不同。撤回支持不是新增反证；无法访问证据不等于从未有过证据。对无权读取的主体，连证据存在性也要按策略控制。</w:t>
      </w:r>
    </w:p>
    <w:p>
      <w:pPr>
        <w:pStyle w:val="Heading2"/>
      </w:pPr>
      <w:r>
        <w:t>5 4  时间至少要区分三个含义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736"/>
        <w:gridCol w:w="3600"/>
        <w:gridCol w:w="3600"/>
      </w:tblGrid>
      <w:tr>
        <w:trPr>
          <w:cantSplit/>
          <w:tblHeader/>
        </w:trPr>
        <w:tc>
          <w:tcPr>
            <w:tcW w:type="dxa" w:w="2736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回答的问题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示例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recorded_at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系统何时知道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周三才收到通知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valid_time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命题何时适用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负责人从周一起变更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event_time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被讨论事件何时发生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活动计划周五举行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spacing w:after="140"/>
      </w:pPr>
      <w:r>
        <w:t>系统时间用提交顺序和时区明确的时间戳；有效时间可未知、为区间或带不确定性。周三收到一条从周一起生效的更正，不应抹去周二系统仍不知道此事的历史。查询应分别提供 as_of 与 valid_at，不能让一个 timestamp 同时承担这些含义。未来事件时间也不等于当前计划陈述何时成立。双时间本身已有成熟先例。[S4]</w:t>
      </w:r>
    </w:p>
    <w:p>
      <w:pPr>
        <w:pStyle w:val="Heading2"/>
      </w:pPr>
      <w:r>
        <w:t>5 5  失效传播需要同步闸门</w:t>
      </w:r>
    </w:p>
    <w:p>
      <w:pPr>
        <w:spacing w:after="140"/>
      </w:pPr>
      <w:r>
        <w:t>更正、撤回或删除发生时，先在同一事务内记录变化并推进 validation_epoch，再用反向依赖索引标记受影响的主张、任务前提和上下文。异步更新的索引必须带 applied_sequence 和 epoch；不能在失效传播尚未完成时，把旧索引命中当作当前已验证事实。</w:t>
      </w:r>
    </w:p>
    <w:p>
      <w:pPr>
        <w:spacing w:after="140"/>
      </w:pPr>
      <w:r>
        <w:t>关键读取或动作准入发现投影落后时，应等待、对依赖闭包重验，或返回需要重评。普通探索检索可以返回显式标注的陈旧候选。后续优化可用细粒度依赖戳减少无关更正带来的阻塞。全局 epoch 只解决已收到的更新，不知道外部世界尚未通知的变化；后者依赖过期策略和主动复查。</w:t>
      </w:r>
    </w:p>
    <w:p>
      <w:pPr>
        <w:pStyle w:val="Heading1"/>
      </w:pPr>
      <w:r>
        <w:t>6 任务与行动需要不同状态机</w:t>
      </w:r>
    </w:p>
    <w:p>
      <w:pPr>
        <w:spacing w:after="140"/>
      </w:pPr>
      <w:r>
        <w:t>TaskRevision 描述目标、范围、任务依赖、产物要求和验收谓词。任务循环通过新迭代或新版本表达，不伪装成永远无环的计划。ActionIntent 描述一次具体的外部操作；同一任务可以有多个意图，每个意图可以有多次受控尝试。意图 ID、尝试 ID、工具请求 ID 和外部作业 ID 分开保存。</w:t>
      </w:r>
    </w:p>
    <w:p>
      <w:pPr>
        <w:keepLines/>
        <w:spacing w:line="259" w:lineRule="auto" w:before="100" w:after="180"/>
        <w:ind w:left="187" w:right="72"/>
        <w:contextualSpacing w:val="0"/>
      </w:pPr>
      <w:r>
        <w:rPr>
          <w:rFonts w:ascii="DejaVu Sans Mono" w:hAnsi="DejaVu Sans Mono" w:cs="DejaVu Sans Mono"/>
          <w:sz w:val="20"/>
        </w:rPr>
        <w:t>ActionIntent {</w:t>
        <w:br/>
        <w:t xml:space="preserve">  intent_id, task_revision_id,</w:t>
        <w:br/>
        <w:t xml:space="preserve">  operation, connector_identity, connector_version,</w:t>
        <w:br/>
        <w:t xml:space="preserve">  executor_principal, target_ids[],</w:t>
        <w:br/>
        <w:t xml:space="preserve">  arguments_ref, artifact_revision_ids[],</w:t>
        <w:br/>
        <w:t xml:space="preserve">  precondition_refs[], context_manifest_id,</w:t>
        <w:br/>
        <w:t xml:space="preserve">  idempotency_contract, resource_reservation_refs[]</w:t>
        <w:br/>
        <w:t>}</w:t>
      </w:r>
    </w:p>
    <w:p>
      <w:pPr>
        <w:keepLines/>
        <w:spacing w:line="259" w:lineRule="auto" w:before="100" w:after="180"/>
        <w:ind w:left="187" w:right="72"/>
        <w:contextualSpacing w:val="0"/>
      </w:pPr>
      <w:r>
        <w:rPr>
          <w:rFonts w:ascii="DejaVu Sans Mono" w:hAnsi="DejaVu Sans Mono" w:cs="DejaVu Sans Mono"/>
          <w:sz w:val="20"/>
        </w:rPr>
        <w:t>AuthorizationGrant {</w:t>
        <w:br/>
        <w:t xml:space="preserve">  issuer, grantee, parent_grant_id?,</w:t>
        <w:br/>
        <w:t xml:space="preserve">  operation_digest, scope, purpose,</w:t>
        <w:br/>
        <w:t xml:space="preserve">  expiry, revocation_handle, use_limit,</w:t>
        <w:br/>
        <w:t xml:space="preserve">  allowed_destinations[], policy_version</w:t>
        <w:br/>
        <w:t>}</w:t>
      </w:r>
    </w:p>
    <w:p>
      <w:pPr>
        <w:spacing w:after="140"/>
      </w:pPr>
      <w:r>
        <w:t>operation_digest 覆盖规范化后的操作、真实目标 ID、执行主体、连接器身份及必要版本、参数和确切产物内容。固定 canonicalization 版本，可采用 RFC 8785 的思路处理 JSON；大整数、单位、时间格式和二进制文件摘要应另有明确编码规则。[S21]</w:t>
      </w:r>
    </w:p>
    <w:p>
      <w:pPr>
        <w:spacing w:after="140"/>
      </w:pPr>
      <w:r>
        <w:t>批准发送或提交 v7，并不自动授权 v8。另一方面，仅仅出现 v8，不必使仍然冻结为 v7 的原动作失效：若用户本就批准 v7，且最新性不是前置条件，执行 v7 可以仍合法。需要重新检查的是具体策略和前置条件，不能把所有无关新版本都当作需要重新审批。</w:t>
      </w:r>
    </w:p>
    <w:p>
      <w:pPr>
        <w:spacing w:after="140"/>
      </w:pPr>
      <w:r>
        <w:t>已有范围授权可生成多个受约束的动作，不必每次请人确认。数据结构记录授权边界，运行时在边界内自主执行。读取权限与向某个目标披露数据的权限必须分开；名称如某位老师或某个服务器应在授权前解析为稳定身份，执行时不能悄悄重新指向另一对象。[S15]</w:t>
      </w:r>
    </w:p>
    <w:p>
      <w:pPr>
        <w:pStyle w:val="Heading2"/>
      </w:pPr>
      <w:r>
        <w:t>6 1  外部效果的最小状态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240"/>
        <w:gridCol w:w="3240"/>
        <w:gridCol w:w="3456"/>
      </w:tblGrid>
      <w:tr>
        <w:trPr>
          <w:cantSplit/>
          <w:tblHeader/>
        </w:trPr>
        <w:tc>
          <w:tcPr>
            <w:tcW w:type="dxa" w:w="3240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允许的下一步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PROPOSED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意图已形成 尚未完成准入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补齐授权 依据及资源条件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PREPARED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已冻结请求并原子预留资源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网关重新检查后尝试执行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IN_FLIGHT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已记录开始尝试 可能已经送达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等待回执 或查询外部状态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OUTCOME_UNKNOWN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无法判断外部是否生效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对账 或满足契约的同键重试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CONFIRMED_SUCCEEDED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外部回执或验证确认成功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按验收条件更新任务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CONFIRMED_NOT_APPLIED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确认未生效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按策略重试或释放预留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CANCELLED_BEFORE_</w:t>
              <w:br/>
              <w:t>DISPATCH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确认尚未发出且已撤销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释放相关预留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spacing w:after="140"/>
      </w:pPr>
      <w:r>
        <w:t>通用 FAILED 不足以处理部分成功和错误码不明确的服务。复合操作应拆成可核查子动作；确有部分效果时记录 PARTIAL，并逐项对账。收到成功回执也不等于整个任务验收通过，任务完成必须满足预先声明的验收条件。</w:t>
      </w:r>
    </w:p>
    <w:p>
      <w:pPr>
        <w:pStyle w:val="Heading2"/>
      </w:pPr>
      <w:r>
        <w:t>6 2  超时恢复与幂等契约</w:t>
      </w:r>
    </w:p>
    <w:p>
      <w:pPr>
        <w:spacing w:after="140"/>
      </w:pPr>
      <w:r>
        <w:t>准备意图及写入 outbox 在同一数据库事务内完成。执行网关在实际尝试前原子领取动作，检查当前授权、依赖、删除策略及资源预留；外部调用在事务外进行。网关将响应保存为新 Observation 和 Receipt，再推进状态。崩溃在开始记录之后、真正发出之前，也可能留下 UNKNOWN，这是一种保守但诚实的表示。</w:t>
      </w:r>
    </w:p>
    <w:p>
      <w:pPr>
        <w:spacing w:after="140"/>
      </w:pPr>
      <w:r>
        <w:t>远端支持幂等键时，重试沿用同一逻辑意图、同一规范化参数和同一键；记录键的服务范围及有效期。若键已过期、参数改变或服务无幂等承诺，不能继续声称重试安全。远端支持查询时可对账；既不能查询又不幂等的操作，默认暂停自动重发。租约到期只说明本地持有者失联，不证明远端未执行。[S13,S20] 查询未找到只有在连接器保证查询覆盖范围、可见性与最终性时，才能作为未生效依据；最终一致索引中暂时不存在仍为 UNKNOWN。</w:t>
      </w:r>
    </w:p>
    <w:p>
      <w:pPr>
        <w:spacing w:after="140"/>
      </w:pPr>
      <w:r>
        <w:t>UNKNOWN 必须保留资源和授权次数的占用，不能随租约到期释放。预留状态至少区分 reserved、uncertain、committed、released。否则第一次请求实际已成功却仍未知时，第二个动作会重复消耗同一预算。次数按逻辑意图计量，尝试重试不额外获得授权。</w:t>
      </w:r>
    </w:p>
    <w:p>
      <w:pPr>
        <w:spacing w:after="140"/>
      </w:pPr>
      <w:r>
        <w:t>本地可证明的边界是网关准入的线性化时刻。外部请求一旦发出，后来的撤销无法把它收回；远端资源在检查与使用之间变化，也不能仅靠本地事务消除。强条件更新需要远端支持 If-Match、版本前提、事务或同等机制。HTTP 幂等语义和条件请求可作为基础，但不能推断任意工具 POST 都有相同性质。[S20]</w:t>
      </w:r>
    </w:p>
    <w:p>
      <w:pPr>
        <w:spacing w:after="140"/>
      </w:pPr>
      <w:r>
        <w:t>回执先属于具体 Attempt，再按 Intent 聚合。一次尝试确认未生效，不足以释放整个意图的预留；只有所有可能送达的尝试均可靠确认未生效、且不存在在途或未知尝试时，才可判定整个意图未生效。任何已确认成功不得被迟到的失败或未知回执覆盖；若重试回执冲突，保留冲突并对账。</w:t>
      </w:r>
    </w:p>
    <w:p>
      <w:pPr>
        <w:pStyle w:val="Heading1"/>
      </w:pPr>
      <w:r>
        <w:t>7 并发 分支与合并</w:t>
      </w:r>
    </w:p>
    <w:p>
      <w:pPr>
        <w:pStyle w:val="Heading2"/>
      </w:pPr>
      <w:r>
        <w:t>7 1  第一版选择工作空间内有序提交</w:t>
      </w:r>
    </w:p>
    <w:p>
      <w:pPr>
        <w:spacing w:after="140"/>
      </w:pPr>
      <w:r>
        <w:t>MVP 为每个工作空间维护单一提交序列。Agent 在确定快照上产生 proposal，提交时携带 expected_head 或明确读版本；冲突时重新检查，而不是静默最后写入获胜。多个工作空间并行。这个选择简化一致性证明，代价是同一热点空间的写入吞吐受限。</w:t>
      </w:r>
    </w:p>
    <w:p>
      <w:pPr>
        <w:spacing w:after="140"/>
      </w:pPr>
      <w:r>
        <w:t>共享预算、库存和授权次数必须作为同一事务中的约束。预算为 100，两个 Agent 各读到 100 并各建一个消耗 60 的动作，单独对象 CAS 全部成功也会超额。正确做法是原子预留：第一个成功后余额变为 40，第二个拒绝或调整。稳定快照不等于可串行化，PostgreSQL 文档明确区分两者。[S19]</w:t>
      </w:r>
    </w:p>
    <w:p>
      <w:pPr>
        <w:spacing w:after="140"/>
      </w:pPr>
      <w:r>
        <w:t>不要在模型推理期间持有数据库锁。读取快照后释放事务，在事务外调用模型，提交 proposal 时再做版本和资源检查。扩展到细粒度并发后，要显式处理多对象读集、谓词条件、写偏斜和序列化失败重试。</w:t>
      </w:r>
    </w:p>
    <w:p>
      <w:pPr>
        <w:pStyle w:val="Heading2"/>
      </w:pPr>
      <w:r>
        <w:t>7 2  分支用于比较方案而非复制现实</w:t>
      </w:r>
    </w:p>
    <w:p>
      <w:pPr>
        <w:spacing w:after="140"/>
      </w:pPr>
      <w:r>
        <w:t>fork(snapshot) 建立分支根并共享不可变记录，新增记录仅对该分支可见。分支适合比较研究假设或候选计划。merge 生成新记录，说明采用哪些版本、哪些冲突仍未解决。语义合并不能由字符串拼接或最近时间戳代替。</w:t>
      </w:r>
    </w:p>
    <w:p>
      <w:pPr>
        <w:spacing w:after="140"/>
      </w:pPr>
      <w:r>
        <w:t>只追加独立观察的集合可以采用可合并集合思路；预算余额、审批次数和任务唯一完成等约束不能直接取并集。外部已经发生的效果属于现实执行账本，不能通过回滚分支撤销；从分支发起实际效果仍须通过公共网关和公共资源预留。跨工作空间原子事务不属于 MVP 承诺。</w:t>
      </w:r>
    </w:p>
    <w:p>
      <w:pPr>
        <w:pStyle w:val="Heading1"/>
      </w:pPr>
      <w:r>
        <w:t>8 上下文是有契约的读取结果</w:t>
      </w:r>
    </w:p>
    <w:p>
      <w:pPr>
        <w:spacing w:after="140"/>
      </w:pPr>
      <w:r>
        <w:t>工作记忆不是另一份可以随意改写的真相。ContextManifest 记录 query、snapshot、任务版本、选中的记录和具体片段、顺序、变换或摘要版本、token 预算、检索器与策略版本。模型看见了什么必须落实到实际渲染输入，而不是只记录一条检索查询。</w:t>
      </w:r>
    </w:p>
    <w:p>
      <w:pPr>
        <w:keepLines/>
        <w:spacing w:line="259" w:lineRule="auto" w:before="100" w:after="180"/>
        <w:ind w:left="187" w:right="72"/>
        <w:contextualSpacing w:val="0"/>
      </w:pPr>
      <w:r>
        <w:rPr>
          <w:rFonts w:ascii="DejaVu Sans Mono" w:hAnsi="DejaVu Sans Mono" w:cs="DejaVu Sans Mono"/>
          <w:sz w:val="20"/>
        </w:rPr>
        <w:t>ContextManifest {</w:t>
        <w:br/>
        <w:t xml:space="preserve">  context_id, snapshot, task_revision_id,</w:t>
        <w:br/>
        <w:t xml:space="preserve">  selected_items: [{record_id, span, transform_id}],</w:t>
        <w:br/>
        <w:t xml:space="preserve">  rendered_input_ref?, rendered_input_digest,</w:t>
        <w:br/>
        <w:t xml:space="preserve">  required_items[], omitted_items_summary,</w:t>
        <w:br/>
        <w:t xml:space="preserve">  token_budget, tokenizer_version,</w:t>
        <w:br/>
        <w:t xml:space="preserve">  retrieval_version, policy_epoch,</w:t>
        <w:br/>
        <w:t xml:space="preserve">  inherited_data_labels[], expiry</w:t>
        <w:br/>
        <w:t>}</w:t>
      </w:r>
    </w:p>
    <w:p>
      <w:pPr>
        <w:spacing w:after="140"/>
      </w:pPr>
      <w:r>
        <w:t>来源和限制条件构成绑定单元。检索命中一个结论时，至少携带其状态、适用范围、关键来源指针和未解决冲突；高影响动作还须打开并核验关键证据片段。摘要只是派生内容，继续指向原文，不能因为摘要更短就丢掉否定条件、单位、时间或权限标签。</w:t>
      </w:r>
    </w:p>
    <w:p>
      <w:pPr>
        <w:keepLines/>
        <w:spacing w:before="80" w:after="160"/>
        <w:jc w:val="center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/>
              <m:e>
                <m:limLow>
                  <m:e>
                    <m:r>
                      <w:rPr>
                        <w:rFonts w:ascii="Latin Modern Math" w:hAnsi="Latin Modern Math"/>
                        <w:sz w:val="24"/>
                      </w:rPr>
                      <m:rPr>
                        <m:sty m:val="p"/>
                      </m:rPr>
                      <m:t>max</m:t>
                    </m:r>
                  </m:e>
                  <m:lim>
                    <m:r>
                      <w:rPr>
                        <w:rFonts w:ascii="Latin Modern Math" w:hAnsi="Latin Modern Math"/>
                        <w:sz w:val="24"/>
                      </w:rPr>
                      <m:t>S</m:t>
                    </m:r>
                    <m:r>
                      <w:rPr>
                        <w:rFonts w:ascii="Latin Modern Math" w:hAnsi="Latin Modern Math"/>
                        <w:sz w:val="24"/>
                      </w:rPr>
                      <m:rPr>
                        <m:sty m:val="p"/>
                      </m:rPr>
                      <m:t>⊆</m:t>
                    </m:r>
                    <m:r>
                      <w:rPr>
                        <w:rFonts w:ascii="Latin Modern Math" w:hAnsi="Latin Modern Math"/>
                        <w:sz w:val="24"/>
                      </w:rPr>
                      <m:t>C</m:t>
                    </m:r>
                  </m:lim>
                </m:limLow>
                <m:r>
                  <w:rPr>
                    <w:rFonts w:ascii="Latin Modern Math" w:hAnsi="Latin Modern Math"/>
                    <w:sz w:val="24"/>
                  </w:rPr>
                  <m:t>U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w:rPr>
                        <w:rFonts w:ascii="Latin Modern Math" w:hAnsi="Latin Modern Math"/>
                        <w:sz w:val="24"/>
                      </w:rPr>
                      <m:t>S</m:t>
                    </m:r>
                    <m:r>
                      <w:rPr>
                        <w:rFonts w:ascii="Latin Modern Math" w:hAnsi="Latin Modern Math"/>
                        <w:sz w:val="24"/>
                      </w:rPr>
                      <m:rPr>
                        <m:sty m:val="p"/>
                      </m:rPr>
                      <m:t>,</m:t>
                    </m:r>
                    <m:r>
                      <w:rPr>
                        <w:rFonts w:ascii="Latin Modern Math" w:hAnsi="Latin Modern Math"/>
                        <w:sz w:val="24"/>
                      </w:rPr>
                      <m:t>q</m:t>
                    </m:r>
                  </m:e>
                </m:d>
              </m:e>
            </m:mr>
            <m:mr>
              <m:e/>
              <m:e>
                <m:r>
                  <w:rPr>
                    <w:rFonts w:ascii="Latin Modern Math" w:hAnsi="Latin Modern Math"/>
                    <w:sz w:val="24"/>
                  </w:rPr>
                  <m:rPr>
                    <m:nor/>
                    <m:sty m:val="p"/>
                  </m:rPr>
                  <m:t>s.t.</m:t>
                </m:r>
                <m:r>
                  <w:rPr>
                    <w:rFonts w:ascii="Latin Modern Math" w:hAnsi="Latin Modern Math"/>
                    <w:sz w:val="24"/>
                  </w:rPr>
                  <m:t> </m:t>
                </m:r>
                <m:r>
                  <w:rPr>
                    <w:rFonts w:ascii="Latin Modern Math" w:hAnsi="Latin Modern Math"/>
                    <w:sz w:val="24"/>
                  </w:rPr>
                  <m:rPr>
                    <m:sty m:val="p"/>
                  </m:rPr>
                  <m:t>tokens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w:rPr>
                        <w:rFonts w:ascii="Latin Modern Math" w:hAnsi="Latin Modern Math"/>
                        <w:sz w:val="24"/>
                      </w:rPr>
                      <m:t>S</m:t>
                    </m:r>
                  </m:e>
                </m:d>
                <m:r>
                  <w:rPr>
                    <w:rFonts w:ascii="Latin Modern Math" w:hAnsi="Latin Modern Math"/>
                    <w:sz w:val="24"/>
                  </w:rPr>
                  <m:rPr>
                    <m:sty m:val="p"/>
                  </m:rPr>
                  <m:t>≤</m:t>
                </m:r>
                <m:r>
                  <w:rPr>
                    <w:rFonts w:ascii="Latin Modern Math" w:hAnsi="Latin Modern Math"/>
                    <w:sz w:val="24"/>
                  </w:rPr>
                  <m:t>B</m:t>
                </m:r>
                <m:r>
                  <w:rPr>
                    <w:rFonts w:ascii="Latin Modern Math" w:hAnsi="Latin Modern Math"/>
                    <w:sz w:val="24"/>
                  </w:rPr>
                  <m:rPr>
                    <m:sty m:val="p"/>
                  </m:rPr>
                  <m:t>,</m:t>
                </m:r>
                <m:r>
                  <w:rPr>
                    <w:rFonts w:ascii="Latin Modern Math" w:hAnsi="Latin Modern Math"/>
                    <w:sz w:val="24"/>
                  </w:rPr>
                  <m:t> </m:t>
                </m:r>
                <m:r>
                  <w:rPr>
                    <w:rFonts w:ascii="Latin Modern Math" w:hAnsi="Latin Modern Math"/>
                    <w:sz w:val="24"/>
                  </w:rPr>
                  <m:t>M</m:t>
                </m:r>
                <m:r>
                  <w:rPr>
                    <w:rFonts w:ascii="Latin Modern Math" w:hAnsi="Latin Modern Math"/>
                    <w:sz w:val="24"/>
                  </w:rPr>
                  <m:rPr>
                    <m:sty m:val="p"/>
                  </m:rPr>
                  <m:t>⊆</m:t>
                </m:r>
                <m:r>
                  <w:rPr>
                    <w:rFonts w:ascii="Latin Modern Math" w:hAnsi="Latin Modern Math"/>
                    <w:sz w:val="24"/>
                  </w:rPr>
                  <m:t>S</m:t>
                </m:r>
                <m:r>
                  <w:rPr>
                    <w:rFonts w:ascii="Latin Modern Math" w:hAnsi="Latin Modern Math"/>
                    <w:sz w:val="24"/>
                  </w:rPr>
                  <m:rPr>
                    <m:sty m:val="p"/>
                  </m:rPr>
                  <m:t>,</m:t>
                </m:r>
              </m:e>
            </m:mr>
            <m:mr>
              <m:e/>
              <m:e>
                <m:r>
                  <w:rPr>
                    <w:rFonts w:ascii="Latin Modern Math" w:hAnsi="Latin Modern Math"/>
                    <w:sz w:val="24"/>
                  </w:rPr>
                  <m:t>S</m:t>
                </m:r>
                <m:r>
                  <w:rPr>
                    <w:rFonts w:ascii="Latin Modern Math" w:hAnsi="Latin Modern Math"/>
                    <w:sz w:val="24"/>
                  </w:rPr>
                  <m:rPr>
                    <m:nor/>
                    <m:sty m:val="p"/>
                  </m:rPr>
                  <m:t> satisfies policy and dependency rules.</m:t>
                </m:r>
              </m:e>
            </m:mr>
          </m:m>
        </m:oMath>
      </m:oMathPara>
    </w:p>
    <w:p>
      <w:pPr>
        <w:spacing w:after="140"/>
      </w:pPr>
      <w:r>
        <w:t>这里的 U 是待验证的效用估计，M 是必需约束、关键证据或风险提示，C 是可访问候选。优化问题只规定目标，不宣称已有精确最优算法。M 已超预算时必须分阶段读取、提高预算或暂停动作，不能悄悄删掉关键约束。排序只能作用于已通过访问与适用性过滤的候选。</w:t>
      </w:r>
    </w:p>
    <w:p>
      <w:pPr>
        <w:spacing w:after="140"/>
      </w:pPr>
      <w:r>
        <w:t>LLM 的数值汇总、唯一性计数和状态迁移应尽量调用确定性账本或查询，而不是再次让语言模型从大量片段心算。StructMemEval 的账本、树和状态跟踪任务显示，组织方式与重复或漏记直接影响表现；该结果支持增加结构查询测试，不能单独证明本设计优于所有框架。[S8]</w:t>
      </w:r>
    </w:p>
    <w:p>
      <w:pPr>
        <w:pStyle w:val="Heading1"/>
      </w:pPr>
      <w:r>
        <w:t>9 授权 隐私与遗忘</w:t>
      </w:r>
    </w:p>
    <w:p>
      <w:pPr>
        <w:spacing w:after="140"/>
      </w:pPr>
      <w:r>
        <w:t>授权是运行时强制执行的控制数据。Agent 输出的文本、网页内容或工具结果都不能自行提升权限。子 Agent 得到的委派范围不得超出父授权，并且要限制接收主体、目标、目的、有效期、额度和再次委派能力。权限检查同时覆盖记录、关系边、搜索候选、缓存、全文提示和产物。</w:t>
      </w:r>
    </w:p>
    <w:p>
      <w:pPr>
        <w:spacing w:after="140"/>
      </w:pPr>
      <w:r>
        <w:t>数据标签应沿实际使用的输入传播到摘要、模型输出和产物。读取敏感数据后生成的派生内容不能自动成为公开信息；披露或降级需要显式规则。来自网页的提示注入仍可能影响模型，但不会因此获得签发 Grant 或执行未经许可操作的能力。这个边界依赖所有外部效果都经过网关。</w:t>
      </w:r>
    </w:p>
    <w:p>
      <w:pPr>
        <w:spacing w:after="140"/>
      </w:pPr>
      <w:r>
        <w:t>不可变指正常业务修订不能覆盖旧版本，不代表正文永远不可删除。正文、嵌入、摘要、完整输入、附件、缓存和必要元数据纳入删除域。删除时先持久化禁止读取及禁止恢复标记，再清理在线副本、派生内容和后续备份恢复路径。旧快照和离线重建也必须服从当前策略。</w:t>
      </w:r>
    </w:p>
    <w:p>
      <w:pPr>
        <w:spacing w:after="140"/>
      </w:pPr>
      <w:r>
        <w:t>保留独立证据支持某个结论，与保留含有已删除秘密的旧结论文本，是两个问题。应从仍获准使用的证据重新生成干净的派生内容，不能只给原文加一句来源已删除。删除之后，历史回放可能返回输入不可恢复，这是明确的能力边界。</w:t>
      </w:r>
    </w:p>
    <w:p>
      <w:pPr>
        <w:spacing w:after="140"/>
      </w:pPr>
      <w:r>
        <w:t>仅做软删除、删除主副本或销毁一把密钥，不能自动证明备份、第三方副本及已经输出的信息全部消失。记录 ID、关系边、时间和哈希也可能泄露信息。普通权限隔离更不等于差分隐私：若需要多租户统计或共享记忆的差分隐私保证，应另行定义邻接关系、发布机制和隐私预算，不能直接从数据结构推出。</w:t>
      </w:r>
    </w:p>
    <w:p>
      <w:pPr>
        <w:pStyle w:val="Heading1"/>
      </w:pPr>
      <w:r>
        <w:t>10 必须保持的不变量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92"/>
        <w:gridCol w:w="4896"/>
        <w:gridCol w:w="4248"/>
      </w:tblGrid>
      <w:tr>
        <w:trPr>
          <w:cantSplit/>
          <w:tblHeader/>
        </w:trPr>
        <w:tc>
          <w:tcPr>
            <w:tcW w:type="dxa" w:w="79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不变量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保证前提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I1</w:t>
            </w:r>
          </w:p>
        </w:tc>
        <w:tc>
          <w:tcPr>
            <w:tcW w:type="dxa" w:w="489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正常修订只追加 版本引用不悄悄改指向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可信存储及写入服务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I2</w:t>
            </w:r>
          </w:p>
        </w:tc>
        <w:tc>
          <w:tcPr>
            <w:tcW w:type="dxa" w:w="489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已声明版本和派生依赖不引用未来记录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写入器验证 ID 及批内拓扑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I3</w:t>
            </w:r>
          </w:p>
        </w:tc>
        <w:tc>
          <w:tcPr>
            <w:tcW w:type="dxa" w:w="489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同一 request_id 不接受不同请求内容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唯一约束及请求摘要检查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I4</w:t>
            </w:r>
          </w:p>
        </w:tc>
        <w:tc>
          <w:tcPr>
            <w:tcW w:type="dxa" w:w="489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旧版本写入不能静默覆盖当前版本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提交基线检查或串行事务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I5</w:t>
            </w:r>
          </w:p>
        </w:tc>
        <w:tc>
          <w:tcPr>
            <w:tcW w:type="dxa" w:w="489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预留加已确认消耗不超授权额度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统一预算账本 包含 UNKNOWN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I6</w:t>
            </w:r>
          </w:p>
        </w:tc>
        <w:tc>
          <w:tcPr>
            <w:tcW w:type="dxa" w:w="489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实际动作与仍有效授权的具体内容匹配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全部效果经可信网关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I7</w:t>
            </w:r>
          </w:p>
        </w:tc>
        <w:tc>
          <w:tcPr>
            <w:tcW w:type="dxa" w:w="489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超时不能直接推导未生效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连接器履行结果分类契约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I8</w:t>
            </w:r>
          </w:p>
        </w:tc>
        <w:tc>
          <w:tcPr>
            <w:tcW w:type="dxa" w:w="489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失效投影不能作为当前已验证前提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epoch 闸门及闭包重验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I9</w:t>
            </w:r>
          </w:p>
        </w:tc>
        <w:tc>
          <w:tcPr>
            <w:tcW w:type="dxa" w:w="489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回放状态不自动重新调用外部效果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确定性 reducer 与记录结果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 w:val="0"/>
              <w:keepLines/>
              <w:spacing w:after="0" w:before="0" w:line="283" w:lineRule="auto"/>
              <w:jc w:val="center"/>
            </w:pPr>
            <w:r>
              <w:rPr>
                <w:sz w:val="20"/>
              </w:rPr>
              <w:t>I10</w:t>
            </w:r>
          </w:p>
        </w:tc>
        <w:tc>
          <w:tcPr>
            <w:tcW w:type="dxa" w:w="489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当前禁止访问或删除不会因旧快照而失效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所有读取和恢复路径执行策略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spacing w:after="140"/>
      </w:pPr>
      <w:r>
        <w:t>可采用归纳证明：初始空状态满足不变量；每个允许操作在提交前检查其前置条件，并在一个事务内更新记录、资源和必需投影；因而每个提交后的状态继续满足这些结构性性质。证明范围不含未知依赖、错误抽取、绕过网关、恶意数据库管理员或不遵守契约的外部服务。数据结构无法证明任意自然语言结论为真。</w:t>
      </w:r>
    </w:p>
    <w:p>
      <w:pPr>
        <w:pStyle w:val="Heading2"/>
      </w:pPr>
      <w:r>
        <w:t>10 1  关键操作的契约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88"/>
        <w:gridCol w:w="3816"/>
        <w:gridCol w:w="4032"/>
      </w:tblGrid>
      <w:tr>
        <w:trPr>
          <w:cantSplit/>
          <w:tblHeader/>
        </w:trPr>
        <w:tc>
          <w:tcPr>
            <w:tcW w:type="dxa" w:w="2088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403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成功后的结果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observe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来源身份与内容位置可记录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产生新观察 不直接升级为真值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assess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引用版本存在 评估者有权限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生成主张评估及支持路径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revise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基线版本匹配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产生新版本 旧版本可追溯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invalidate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操作主体有权 目标可识别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推进 epoch 标记依赖重评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prepare_effect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意图冻结 资源及授权合格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写入意图和 outbox 原子预留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dispatch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重新核查当前前提和授权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记录 attempt 然后接触外部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resolve_effect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有可核查回执或对账依据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推进效果状态并结算预留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project_context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当前访问策略允许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返回有预算且带来源的视图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retire_or_purge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删除范围已解析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阻止复活并处理派生内容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1"/>
      </w:pPr>
      <w:r>
        <w:t>11 一个完整的研究 Agent 示例</w:t>
      </w:r>
    </w:p>
    <w:p>
      <w:pPr>
        <w:spacing w:after="140"/>
      </w:pPr>
      <w:r>
        <w:t>考虑三个 Agent 协作准备并提交实验作业。A 读取数据集说明，B 制定实验计划，C 负责核查与提交。以下是设计推演，不是实际运行结果。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728"/>
        <w:gridCol w:w="4176"/>
        <w:gridCol w:w="4032"/>
      </w:tblGrid>
      <w:tr>
        <w:trPr>
          <w:cantSplit/>
          <w:tblHeader/>
        </w:trPr>
        <w:tc>
          <w:tcPr>
            <w:tcW w:type="dxa" w:w="1728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176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新增记录</w:t>
            </w:r>
          </w:p>
        </w:tc>
        <w:tc>
          <w:tcPr>
            <w:tcW w:type="dxa" w:w="403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系统应有的行为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1 读取说明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O1 保存文档 v1 及原文片段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把原始内容作为观察保存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2 抽取配置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C1 称测试集为 500 条 J1 引用 O1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保留主张与支持关系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3 制定计划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P1 使用 C1 与代码 commit a1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计划前提绑定确切版本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4 获得授权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G1 批准配置 F1 与指定计算项目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授权摘要覆盖配置 目标与主体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5 收到更正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O2 指出测试集为 1000 条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先记录冲突 核验来源后重评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6 修订计划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P2 和 F2 使用已核验更正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G1 不自动覆盖 F2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7 提交作业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I2 与 A2 记录意图和尝试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原子预留计算额度并经网关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8 响应超时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U2 记录结果未知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保留额度 按原键查询外部作业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9 查询确认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R2 关联外部 job id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确认只对应同一逻辑作业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10 验收结果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V2 保存指标验证与产物版本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通过验收条件后任务完成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spacing w:after="140"/>
      </w:pPr>
      <w:r>
        <w:t>如果更正 O2 只是另一 Agent 的猜测，系统应保留冲突，而不是更新成 1000。若 F1 被明确批准且允许使用旧配置，仍可按 F1 执行；如果验收要求采用最新数据定义，则 F1 前置条件失效。两者由策略决定，不由最近时间戳决定。</w:t>
      </w:r>
    </w:p>
    <w:p>
      <w:pPr>
        <w:spacing w:after="140"/>
      </w:pPr>
      <w:r>
        <w:t>如果另有独立官方来源 O3 支持 C1，撤回 O1 后需要重算支持路径，不能机械删除 C1。如果 C1 的正文含有被要求删除的秘密，即使它还有独立支持，也要处理正文的删除域。这个例子同时检验了知识状态、工作状态和数据生命周期之间的区别。</w:t>
      </w:r>
    </w:p>
    <w:p>
      <w:pPr>
        <w:pStyle w:val="Heading1"/>
      </w:pPr>
      <w:r>
        <w:t>12 物理实现与复杂度</w:t>
      </w:r>
    </w:p>
    <w:p>
      <w:pPr>
        <w:pStyle w:val="Heading2"/>
      </w:pPr>
      <w:r>
        <w:t>12 1  最小实现可以落在一个关系数据库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312"/>
        <w:gridCol w:w="4032"/>
        <w:gridCol w:w="2592"/>
      </w:tblGrid>
      <w:tr>
        <w:trPr>
          <w:cantSplit/>
          <w:tblHeader/>
        </w:trPr>
        <w:tc>
          <w:tcPr>
            <w:tcW w:type="dxa" w:w="331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存储对象</w:t>
            </w:r>
          </w:p>
        </w:tc>
        <w:tc>
          <w:tcPr>
            <w:tcW w:type="dxa" w:w="403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主要作用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一致性要求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commits 和 records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提交序列与不可变记录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与关键状态变更同事务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record_refs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带类型的正向与反向引用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失效索引需有水位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object_heads 和 task_state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当前版本与工作状态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强一致 用于准入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grants 和 reservations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授权次数与资源预留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强一致 原子检查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effect_outbox 和 attempts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待发送动作与尝试记录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与准备动作同事务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blob_store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原文 附件 模型输入与输出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不可变版本及删除策略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search_indexes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全文 向量 图查询加速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可异步 必须标注水位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spacing w:after="140"/>
      </w:pPr>
      <w:r>
        <w:t>第一版可用 PostgreSQL 完成记录、事务、JSON 载荷和必要索引，配合文件或对象存储。初期全文检索也可直接使用数据库；向量和图索引是后续性能选择。模型、检索器、排序器、工作流引擎可以替换，但必须通过相同操作契约。</w:t>
      </w:r>
    </w:p>
    <w:p>
      <w:pPr>
        <w:spacing w:after="140"/>
      </w:pPr>
      <w:r>
        <w:t>不能只在 JSON schema 中写一个字段就宣称保证成立。数据库唯一约束处理请求去重，事务处理预算预留，写入服务处理类型与版本，执行网关处理权限和连接器契约，读取服务处理策略及索引水位。它们共同实现 ADT。</w:t>
      </w:r>
    </w:p>
    <w:p>
      <w:pPr>
        <w:pStyle w:val="Heading2"/>
      </w:pPr>
      <w:r>
        <w:t>12 2  复杂度必须注明成立条件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944"/>
        <w:gridCol w:w="4104"/>
        <w:gridCol w:w="3888"/>
      </w:tblGrid>
      <w:tr>
        <w:trPr>
          <w:cantSplit/>
          <w:tblHeader/>
        </w:trPr>
        <w:tc>
          <w:tcPr>
            <w:tcW w:type="dxa" w:w="1944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4104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典型代价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不能忽略的条件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按 ID 读取</w:t>
            </w:r>
          </w:p>
        </w:tc>
        <w:tc>
          <w:tcPr>
            <w:tcW w:type="dxa" w:w="410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B 树索引为 O(log N)</w:t>
            </w:r>
          </w:p>
        </w:tc>
        <w:tc>
          <w:tcPr>
            <w:tcW w:type="dxa" w:w="38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载荷大小及网络 I/O 另计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追加 k 条引用的记录</w:t>
            </w:r>
          </w:p>
        </w:tc>
        <w:tc>
          <w:tcPr>
            <w:tcW w:type="dxa" w:w="410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索引实现约 O((k+1) log(N+E) + 载荷大小)</w:t>
            </w:r>
          </w:p>
        </w:tc>
        <w:tc>
          <w:tcPr>
            <w:tcW w:type="dxa" w:w="38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假定固定数量的 B 树索引 无触发额外失效传播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有界邻域遍历</w:t>
            </w:r>
          </w:p>
        </w:tc>
        <w:tc>
          <w:tcPr>
            <w:tcW w:type="dxa" w:w="410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O(Vr + Er)</w:t>
            </w:r>
          </w:p>
        </w:tc>
        <w:tc>
          <w:tcPr>
            <w:tcW w:type="dxa" w:w="38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r 表示实际可达子图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失效或删除传播</w:t>
            </w:r>
          </w:p>
        </w:tc>
        <w:tc>
          <w:tcPr>
            <w:tcW w:type="dxa" w:w="410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O(Va + Ea) 加规则重算</w:t>
            </w:r>
          </w:p>
        </w:tc>
        <w:tc>
          <w:tcPr>
            <w:tcW w:type="dxa" w:w="38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最坏可能覆盖整图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从检查点恢复</w:t>
            </w:r>
          </w:p>
        </w:tc>
        <w:tc>
          <w:tcPr>
            <w:tcW w:type="dxa" w:w="410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增量日志与载荷读取 加 reducer 实际工作及必要索引重建</w:t>
            </w:r>
          </w:p>
        </w:tc>
        <w:tc>
          <w:tcPr>
            <w:tcW w:type="dxa" w:w="38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单条撤回可能触发全图传播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支持电路求值</w:t>
            </w:r>
          </w:p>
        </w:tc>
        <w:tc>
          <w:tcPr>
            <w:tcW w:type="dxa" w:w="410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显式无环电路上线性于电路大小</w:t>
            </w:r>
          </w:p>
        </w:tc>
        <w:tc>
          <w:tcPr>
            <w:tcW w:type="dxa" w:w="38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最小支持集合完整展开可能指数增长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语义检索与矛盾判断</w:t>
            </w:r>
          </w:p>
        </w:tc>
        <w:tc>
          <w:tcPr>
            <w:tcW w:type="dxa" w:w="410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取决于索引 召回策略和模型</w:t>
            </w:r>
          </w:p>
        </w:tc>
        <w:tc>
          <w:tcPr>
            <w:tcW w:type="dxa" w:w="3888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不能统一承诺 O(log N)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spacing w:after="140"/>
      </w:pPr>
      <w:r>
        <w:t>支持结构采用共享子表达式的 AND OR 电路或 justification 节点，不急于展开所有最小证据集合。单个结论可设置路径数、深度和重算预算；超限返回需要进一步评估，不把截断后的结果谎称完整证明。大载荷不内联在每个快照中，分支与快照共享不可变引用。</w:t>
      </w:r>
    </w:p>
    <w:p>
      <w:pPr>
        <w:spacing w:after="140"/>
      </w:pPr>
      <w:r>
        <w:t>最可能的瓶颈包括热门实体的依赖扇出、工作空间提交争用、模型抽取成本、索引异步延迟和删除传播。应先测量它们，再决定是否分片、采用专门图存储或压缩历史。压缩只能改变存储形式，不能偷偷丢掉仍需审计的版本或未完成动作。</w:t>
      </w:r>
    </w:p>
    <w:p>
      <w:pPr>
        <w:pStyle w:val="Heading1"/>
      </w:pPr>
      <w:r>
        <w:t>13 如何验证这项设计</w:t>
      </w:r>
    </w:p>
    <w:p>
      <w:pPr>
        <w:pStyle w:val="Heading2"/>
      </w:pPr>
      <w:r>
        <w:t>13 1  分开评估结构 解析和策略</w:t>
      </w:r>
    </w:p>
    <w:p>
      <w:pPr>
        <w:spacing w:after="140"/>
      </w:pPr>
      <w:r>
        <w:t>第一层使用确定性记录和假工具做状态机及并发测试，隔离 LLM 的随机性。第二层把自然语言映射成记录，与 oracle 解析对照，测漏记、误抽取和错误依赖。第三层才做完整 Agent 任务，测任务成功与成本。否则，即使指标改善，也无法知道贡献来自数据结构、提示词、更多模型调用还是更强模型。</w:t>
      </w:r>
    </w:p>
    <w:p>
      <w:pPr>
        <w:spacing w:after="140"/>
      </w:pPr>
      <w:r>
        <w:t>LoCoMo 可用于对话长期记忆，LongMemEval 包含知识更新、时间推理、多会话等能力，StructMemEval 增加树、账本和状态组织压力。这些公开基准仍需补充外部效果、撤回、授权变化和故障恢复场景。[S8,S22–S23]</w:t>
      </w:r>
    </w:p>
    <w:p>
      <w:pPr>
        <w:pStyle w:val="Heading2"/>
      </w:pPr>
      <w:r>
        <w:t>13 2  公平基线与必要消融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80"/>
        <w:gridCol w:w="3744"/>
        <w:gridCol w:w="3312"/>
      </w:tblGrid>
      <w:tr>
        <w:trPr>
          <w:cantSplit/>
          <w:tblHeader/>
        </w:trPr>
        <w:tc>
          <w:tcPr>
            <w:tcW w:type="dxa" w:w="2880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基线或消融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控制内容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检验的问题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消息加摘要与结构化状态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同一模型 工具和 token 上限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最简单工程方案是否已足够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向量或事实记忆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固定抽取器与检索预算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结构关系是否必要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时序图记忆加 checkpoint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统一来源与工具任务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已有图和恢复组合是否足够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成熟工作流加 SQL 版本与 outbox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同等事务和幂等能力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新表示是否超出已有工程组合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去掉 Justification 分组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其他组件不变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独立支持路径是否有价值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去掉上下文清单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其他组件不变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审计和重建是否依赖清单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去掉 epoch 或内容绑定</w:t>
            </w:r>
          </w:p>
        </w:tc>
        <w:tc>
          <w:tcPr>
            <w:tcW w:type="dxa" w:w="374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只在隔离测试中运行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陈旧执行和授权漂移能否被暴露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spacing w:after="140"/>
      </w:pPr>
      <w:r>
        <w:t>所有方法共享冻结的数据划分、模型标识、工具模拟器和尽可能相同的调用预算。分别报告写入、维护、检索和决策 token；异步预处理也计费。至少选择多个模型与多个独立任务种子，利用配对任务及重复运行估计不确定性，按场景或任务聚类而不是把同一轨迹的每个事件当作独立样本。</w:t>
      </w:r>
    </w:p>
    <w:p>
      <w:pPr>
        <w:pStyle w:val="Heading2"/>
      </w:pPr>
      <w:r>
        <w:t>13 3  对抗场景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312"/>
        <w:gridCol w:w="2592"/>
        <w:gridCol w:w="4032"/>
      </w:tblGrid>
      <w:tr>
        <w:trPr>
          <w:cantSplit/>
          <w:tblHeader/>
        </w:trPr>
        <w:tc>
          <w:tcPr>
            <w:tcW w:type="dxa" w:w="331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注入事件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主要观测</w:t>
            </w:r>
          </w:p>
        </w:tc>
        <w:tc>
          <w:tcPr>
            <w:tcW w:type="dxa" w:w="403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旧证据撤回 仍有独立新证据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失效传播与误撤销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只使失效支持路径退出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较新但低可信消息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冲突处理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不自动覆盖有效较早证据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两 Agent 各预留 60 总预算 100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资源账本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不超额 且失败返回可解释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审批后改参数 接收者或产物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操作摘要匹配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新动作不能借用旧授权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外部成功后 回执持久化前崩溃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UNKNOWN 恢复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不盲目新建重复逻辑效果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租约过期且旧 worker 继续执行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网关与远端去重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有契约时阻止重复 无契约时保留边界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删除后恢复旧快照或备份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删除域及恢复门控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受禁内容不重新可见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多个 Agent 转载同一来源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来源谱系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不把转述当独立验证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上下文必需约束超过预算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检索器行为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分阶段处理或明确不足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索引落后且前提刚被更正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水位与执行闸门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陈旧候选不能直接获准执行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2"/>
      </w:pPr>
      <w:r>
        <w:t>13 4  评价指标与门控</w:t>
      </w:r>
    </w:p>
    <w:p>
      <w:pPr>
        <w:spacing w:after="140"/>
      </w:pPr>
      <w:r>
        <w:t>结构层指标包括失效传播 precision 与 recall、冲突静默覆盖次数、未经有效授权的动作、重复外部效果、恢复状态一致率及删除复活率。任务层报告成功率、正确拒答率、证据支持准确率及人工裁决负担。系统层报告 p50 和 p95 延迟、每任务总费用、存储增长、索引延迟和热点吞吐。</w:t>
      </w:r>
    </w:p>
    <w:p>
      <w:pPr>
        <w:spacing w:after="140"/>
      </w:pPr>
      <w:r>
        <w:t>确定性不变量在已覆盖故障模型内必须没有反例；这是一项实现门槛，不是对现实零风险的证明。若独立同分布测试中 n 次没有失败，单侧 95% 失败概率上界为 1 - 0.05^(1/n)，大样本近似 3/n。若故障有关联，这一界不能直接套用。</w:t>
      </w:r>
    </w:p>
    <w:p>
      <w:pPr>
        <w:spacing w:after="140"/>
      </w:pPr>
      <w:r>
        <w:t>先运行小规模 pilot 估计方差和事件率，再冻结有统计功效的样本量及阈值。可以预注册一个有条件目标：在知识更正与故障压力场景显著减少错误动作，同时在干净场景不明显损失成功率，且额外非模型延迟与 token 成本处于应用可接受区间。具体百分比应由目标产品和 pilot 决定，本文不虚构性能结果。</w:t>
      </w:r>
    </w:p>
    <w:p>
      <w:pPr>
        <w:pStyle w:val="Heading1"/>
      </w:pPr>
      <w:r>
        <w:t>14 实施顺序与研究贡献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160"/>
        <w:gridCol w:w="4464"/>
        <w:gridCol w:w="3312"/>
      </w:tblGrid>
      <w:tr>
        <w:trPr>
          <w:cantSplit/>
          <w:tblHeader/>
        </w:trPr>
        <w:tc>
          <w:tcPr>
            <w:tcW w:type="dxa" w:w="2160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464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交付物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keepNext/>
              <w:keepLines/>
              <w:spacing w:after="0" w:before="0" w:line="283" w:lineRule="auto"/>
            </w:pPr>
            <w:r>
              <w:rPr>
                <w:b/>
                <w:sz w:val="20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阶段 A 语义内核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schema reducer 版本提交 事务资源账本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不变量和并发反例通过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阶段 B 执行闭环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授权绑定 outbox UNKNOWN 对账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崩溃窗口与幂等契约验证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阶段 C 证据与上下文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支持分组 失效传播 ContextManifest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更新与删除测试通过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阶段 D 真实任务评估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统一基线 公开基准 故障任务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证明收益超过成本和简单基线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阶段 E 性能扩展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分片 索引优化 委派与协议适配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keepLines/>
              <w:spacing w:after="0" w:before="0" w:line="283" w:lineRule="auto"/>
            </w:pPr>
            <w:r>
              <w:rPr>
                <w:sz w:val="20"/>
              </w:rPr>
              <w:t>已有瓶颈证据支持扩展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spacing w:after="140"/>
      </w:pPr>
      <w:r>
        <w:t>若以产品为目标，优先完成阶段 A 和 B，再连接模型记忆。若以论文为目标，最值得聚焦的机制是：在固定预算下，维护来源到主张再到行动前提的依赖，能否在更正与撤回发生时精确阻止失效行动，同时保留仍有独立支持的工作。这个问题比宣称新的通用 Agent 大脑更容易提出可证伪假设。</w:t>
      </w:r>
    </w:p>
    <w:p>
      <w:pPr>
        <w:spacing w:after="140"/>
      </w:pPr>
      <w:r>
        <w:t>已有组件的组合本身不足以证明新颖性。需要与时序图、真值维护、版本数据库和成熟工作流的强组合基线比较，展示新的操作契约、维护算法、复杂度优势或可信的任务收益。若简单 SQL 状态加 checkpoint 和 outbox 已达到同等结果，应接受更简单的实现。</w:t>
      </w:r>
    </w:p>
    <w:p>
      <w:pPr>
        <w:spacing w:after="140"/>
      </w:pPr>
      <w:r>
        <w:t>最终判断：适合长期 Agent 的基础结构，应让系统稳定地区分观察与推断、计划与完成、授权与意愿、失败与未知、历史可见与当前可用。ASG 提供可实现的表示和验证边界；事实是否正确以及行动是否值得，仍要由可靠证据、模型或规则评估和任务验收共同决定。</w:t>
      </w:r>
    </w:p>
    <w:p>
      <w:pPr>
        <w:pStyle w:val="Heading1"/>
      </w:pPr>
      <w:r>
        <w:t>附录 A 操作示例</w:t>
      </w:r>
    </w:p>
    <w:p>
      <w:pPr>
        <w:keepLines/>
        <w:spacing w:line="259" w:lineRule="auto" w:before="100" w:after="180"/>
        <w:ind w:left="187" w:right="72"/>
        <w:contextualSpacing w:val="0"/>
      </w:pPr>
      <w:r>
        <w:rPr>
          <w:rFonts w:ascii="DejaVu Sans Mono" w:hAnsi="DejaVu Sans Mono" w:cs="DejaVu Sans Mono"/>
          <w:sz w:val="20"/>
        </w:rPr>
        <w:t>prepare_effect(intent, expected_head):</w:t>
        <w:br/>
        <w:t xml:space="preserve">  begin serializable transaction</w:t>
        <w:br/>
        <w:t xml:space="preserve">  verify request identity and frozen intent digest</w:t>
        <w:br/>
        <w:t xml:space="preserve">  verify workspace head and declared read versions</w:t>
        <w:br/>
        <w:t xml:space="preserve">  verify current policy and issuer authorization</w:t>
        <w:br/>
        <w:t xml:space="preserve">  verify critical evidence and validation epoch</w:t>
        <w:br/>
        <w:t xml:space="preserve">  reserve budget and grant usage atomically</w:t>
        <w:br/>
        <w:t xml:space="preserve">  append intent and PREPARED records</w:t>
        <w:br/>
        <w:t xml:space="preserve">  insert outbox item in the same transaction</w:t>
        <w:br/>
        <w:t xml:space="preserve">  commit</w:t>
      </w:r>
    </w:p>
    <w:p>
      <w:pPr>
        <w:keepLines/>
        <w:spacing w:line="259" w:lineRule="auto" w:before="100" w:after="180"/>
        <w:ind w:left="187" w:right="72"/>
        <w:contextualSpacing w:val="0"/>
      </w:pPr>
      <w:r>
        <w:rPr>
          <w:rFonts w:ascii="DejaVu Sans Mono" w:hAnsi="DejaVu Sans Mono" w:cs="DejaVu Sans Mono"/>
          <w:sz w:val="20"/>
        </w:rPr>
        <w:t>execute_outbox(intent_id):</w:t>
        <w:br/>
        <w:t xml:space="preserve">  atomically claim and revalidate current conditions</w:t>
        <w:br/>
        <w:t xml:space="preserve">  append attempt-started record before external call</w:t>
        <w:br/>
        <w:t xml:space="preserve">  call connector with frozen args and contract key</w:t>
        <w:br/>
        <w:t xml:space="preserve">  persist response as observation and receipt</w:t>
        <w:br/>
        <w:t xml:space="preserve">  if any_attempt_confirmed_applied: settle reservation</w:t>
        <w:br/>
        <w:t xml:space="preserve">  elif all_attempts_confirmed_not_applied:</w:t>
        <w:br/>
        <w:t xml:space="preserve">    release or retry by policy</w:t>
        <w:br/>
        <w:t xml:space="preserve">  else: mark OUTCOME_UNKNOWN and retain reservation</w:t>
      </w:r>
    </w:p>
    <w:p>
      <w:pPr>
        <w:spacing w:after="140"/>
      </w:pPr>
      <w:r>
        <w:t>上述为接口语义伪代码，不是可直接部署的实现。连接器必须说明响应含义、部分效果、幂等期限、查询回执方法、目标身份和条件更新能力。若无法履行这些契约，系统需要降低保证或保留未知状态。</w:t>
      </w:r>
    </w:p>
    <w:p>
      <w:pPr>
        <w:pStyle w:val="Heading1"/>
      </w:pPr>
      <w:r>
        <w:t>附录 B 一手来源与版本</w:t>
      </w:r>
    </w:p>
    <w:p>
      <w:pPr>
        <w:spacing w:after="180"/>
      </w:pPr>
      <w:r>
        <w:t>以下列出研究中使用的一手论文、官方文档与标准。固定论文版本用于复核；标示为滚动文档的来源以 2026 年 10 月 24 日核验内容为准。</w:t>
      </w:r>
    </w:p>
    <w:p>
      <w:pPr>
        <w:keepNext/>
        <w:spacing w:after="40" w:line="288" w:lineRule="auto"/>
      </w:pPr>
      <w:r>
        <w:rPr>
          <w:b/>
          <w:sz w:val="20"/>
        </w:rPr>
        <w:t>[S1] MemGPT: Towards LLMs as Operating Systems</w:t>
      </w:r>
    </w:p>
    <w:p>
      <w:pPr>
        <w:keepNext/>
        <w:spacing w:after="20" w:line="269" w:lineRule="auto"/>
      </w:pPr>
      <w:r>
        <w:rPr>
          <w:sz w:val="19"/>
        </w:rPr>
        <w:t>2023 初稿 2024-02-12 v2</w:t>
      </w:r>
    </w:p>
    <w:p>
      <w:pPr>
        <w:spacing w:after="160" w:line="269" w:lineRule="auto"/>
      </w:pPr>
      <w:hyperlink r:id="rId11">
        <w:r>
          <w:rPr>
            <w:color w:val="204E73"/>
            <w:sz w:val="19"/>
          </w:rPr>
          <w:t>https://arxiv.org/html/2310.08560v2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[S2] A-Mem: Agentic Memory for LLM Agents</w:t>
      </w:r>
    </w:p>
    <w:p>
      <w:pPr>
        <w:keepNext/>
        <w:spacing w:after="20" w:line="269" w:lineRule="auto"/>
      </w:pPr>
      <w:r>
        <w:rPr>
          <w:sz w:val="19"/>
        </w:rPr>
        <w:t>2025-10-08 v11</w:t>
      </w:r>
    </w:p>
    <w:p>
      <w:pPr>
        <w:spacing w:after="160" w:line="269" w:lineRule="auto"/>
      </w:pPr>
      <w:hyperlink r:id="rId12">
        <w:r>
          <w:rPr>
            <w:color w:val="204E73"/>
            <w:sz w:val="19"/>
          </w:rPr>
          <w:t>https://arxiv.org/html/2502.12110v11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[S3] Mem0: Building Production-Ready AI Agents with Scalable Long-Term Memory</w:t>
      </w:r>
    </w:p>
    <w:p>
      <w:pPr>
        <w:keepNext/>
        <w:spacing w:after="20" w:line="269" w:lineRule="auto"/>
      </w:pPr>
      <w:r>
        <w:rPr>
          <w:sz w:val="19"/>
        </w:rPr>
        <w:t>2025-04-28 v1</w:t>
      </w:r>
    </w:p>
    <w:p>
      <w:pPr>
        <w:spacing w:after="160" w:line="269" w:lineRule="auto"/>
      </w:pPr>
      <w:hyperlink r:id="rId13">
        <w:r>
          <w:rPr>
            <w:color w:val="204E73"/>
            <w:sz w:val="19"/>
          </w:rPr>
          <w:t>https://arxiv.org/html/2504.19413v1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[S4] Zep: A Temporal Knowledge Graph Architecture for Agent Memory</w:t>
      </w:r>
    </w:p>
    <w:p>
      <w:pPr>
        <w:keepNext/>
        <w:spacing w:after="20" w:line="269" w:lineRule="auto"/>
      </w:pPr>
      <w:r>
        <w:rPr>
          <w:sz w:val="19"/>
        </w:rPr>
        <w:t>2025-01-20 v1</w:t>
      </w:r>
    </w:p>
    <w:p>
      <w:pPr>
        <w:spacing w:after="160" w:line="269" w:lineRule="auto"/>
      </w:pPr>
      <w:hyperlink r:id="rId14">
        <w:r>
          <w:rPr>
            <w:color w:val="204E73"/>
            <w:sz w:val="19"/>
          </w:rPr>
          <w:t>https://arxiv.org/html/2501.13956v1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[S5] MAGMA: A Multi-Graph based Agentic Memory Architecture for AI Agents</w:t>
      </w:r>
    </w:p>
    <w:p>
      <w:pPr>
        <w:keepNext/>
        <w:spacing w:after="20" w:line="269" w:lineRule="auto"/>
      </w:pPr>
      <w:r>
        <w:rPr>
          <w:sz w:val="19"/>
        </w:rPr>
        <w:t>2026-01-06 v1</w:t>
      </w:r>
    </w:p>
    <w:p>
      <w:pPr>
        <w:spacing w:after="160" w:line="269" w:lineRule="auto"/>
      </w:pPr>
      <w:hyperlink r:id="rId15">
        <w:r>
          <w:rPr>
            <w:color w:val="204E73"/>
            <w:sz w:val="19"/>
          </w:rPr>
          <w:t>https://arxiv.org/html/2601.03236v1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[S6] Agent Zero Memory: Provenance-Aware Long-Term Memory for LLM Agents</w:t>
      </w:r>
    </w:p>
    <w:p>
      <w:pPr>
        <w:keepNext/>
        <w:spacing w:after="20" w:line="269" w:lineRule="auto"/>
      </w:pPr>
      <w:r>
        <w:rPr>
          <w:sz w:val="19"/>
        </w:rPr>
        <w:t>2026-08-30 v1</w:t>
      </w:r>
    </w:p>
    <w:p>
      <w:pPr>
        <w:spacing w:after="160" w:line="269" w:lineRule="auto"/>
      </w:pPr>
      <w:hyperlink r:id="rId16">
        <w:r>
          <w:rPr>
            <w:color w:val="204E73"/>
            <w:sz w:val="19"/>
          </w:rPr>
          <w:t>https://arxiv.org/html/2608.29606v1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[S7] Portable Agent Memory: A Protocol for Provenance-Verified Memory Transfer Across Heterogeneous LLM Agents</w:t>
      </w:r>
    </w:p>
    <w:p>
      <w:pPr>
        <w:keepNext/>
        <w:spacing w:after="20" w:line="269" w:lineRule="auto"/>
      </w:pPr>
      <w:r>
        <w:rPr>
          <w:sz w:val="19"/>
        </w:rPr>
        <w:t>2026-05-10 v1</w:t>
      </w:r>
    </w:p>
    <w:p>
      <w:pPr>
        <w:spacing w:after="160" w:line="269" w:lineRule="auto"/>
      </w:pPr>
      <w:hyperlink r:id="rId17">
        <w:r>
          <w:rPr>
            <w:color w:val="204E73"/>
            <w:sz w:val="19"/>
          </w:rPr>
          <w:t>https://arxiv.org/html/2605.11032v1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[S8] Evaluating Memory Structure in LLM Agents</w:t>
      </w:r>
    </w:p>
    <w:p>
      <w:pPr>
        <w:keepNext/>
        <w:spacing w:after="20" w:line="269" w:lineRule="auto"/>
      </w:pPr>
      <w:r>
        <w:rPr>
          <w:sz w:val="19"/>
        </w:rPr>
        <w:t>2026-10-01 v4</w:t>
      </w:r>
    </w:p>
    <w:p>
      <w:pPr>
        <w:spacing w:after="160" w:line="269" w:lineRule="auto"/>
      </w:pPr>
      <w:hyperlink r:id="rId18">
        <w:r>
          <w:rPr>
            <w:color w:val="204E73"/>
            <w:sz w:val="19"/>
          </w:rPr>
          <w:t>https://arxiv.org/html/2602.11243v4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[S9] LangGraph Persistence</w:t>
      </w:r>
    </w:p>
    <w:p>
      <w:pPr>
        <w:keepNext/>
        <w:spacing w:after="20" w:line="269" w:lineRule="auto"/>
      </w:pPr>
      <w:r>
        <w:rPr>
          <w:sz w:val="19"/>
        </w:rPr>
        <w:t>官方滚动文档</w:t>
      </w:r>
    </w:p>
    <w:p>
      <w:pPr>
        <w:spacing w:after="160" w:line="269" w:lineRule="auto"/>
      </w:pPr>
      <w:hyperlink r:id="rId19">
        <w:r>
          <w:rPr>
            <w:color w:val="204E73"/>
            <w:sz w:val="19"/>
          </w:rPr>
          <w:t>https://docs.langchain.com/oss/python/langgraph/persistence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[S10] LangGraph Checkpointers</w:t>
      </w:r>
    </w:p>
    <w:p>
      <w:pPr>
        <w:keepNext/>
        <w:spacing w:after="20" w:line="269" w:lineRule="auto"/>
      </w:pPr>
      <w:r>
        <w:rPr>
          <w:sz w:val="19"/>
        </w:rPr>
        <w:t>官方滚动文档</w:t>
      </w:r>
    </w:p>
    <w:p>
      <w:pPr>
        <w:spacing w:after="160" w:line="269" w:lineRule="auto"/>
      </w:pPr>
      <w:hyperlink r:id="rId20">
        <w:r>
          <w:rPr>
            <w:color w:val="204E73"/>
            <w:sz w:val="19"/>
          </w:rPr>
          <w:t>https://docs.langchain.com/oss/python/langgraph/checkpointers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[S11] LangGraph Functional API overview</w:t>
      </w:r>
    </w:p>
    <w:p>
      <w:pPr>
        <w:keepNext/>
        <w:spacing w:after="20" w:line="269" w:lineRule="auto"/>
      </w:pPr>
      <w:r>
        <w:rPr>
          <w:sz w:val="19"/>
        </w:rPr>
        <w:t>官方滚动文档</w:t>
      </w:r>
    </w:p>
    <w:p>
      <w:pPr>
        <w:spacing w:after="160" w:line="269" w:lineRule="auto"/>
      </w:pPr>
      <w:hyperlink r:id="rId21">
        <w:r>
          <w:rPr>
            <w:color w:val="204E73"/>
            <w:sz w:val="19"/>
          </w:rPr>
          <w:t>https://docs.langchain.com/oss/python/langgraph/functional-api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[S12] Temporal Event History</w:t>
      </w:r>
    </w:p>
    <w:p>
      <w:pPr>
        <w:keepNext/>
        <w:spacing w:after="20" w:line="269" w:lineRule="auto"/>
      </w:pPr>
      <w:r>
        <w:rPr>
          <w:sz w:val="19"/>
        </w:rPr>
        <w:t>官方滚动文档</w:t>
      </w:r>
    </w:p>
    <w:p>
      <w:pPr>
        <w:spacing w:after="160" w:line="269" w:lineRule="auto"/>
      </w:pPr>
      <w:hyperlink r:id="rId22">
        <w:r>
          <w:rPr>
            <w:color w:val="204E73"/>
            <w:sz w:val="19"/>
          </w:rPr>
          <w:t>https://docs.temporal.io/encyclopedia/event-history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[S13] Temporal Activity Definition</w:t>
      </w:r>
    </w:p>
    <w:p>
      <w:pPr>
        <w:keepNext/>
        <w:spacing w:after="20" w:line="269" w:lineRule="auto"/>
      </w:pPr>
      <w:r>
        <w:rPr>
          <w:sz w:val="19"/>
        </w:rPr>
        <w:t>官方滚动文档</w:t>
      </w:r>
    </w:p>
    <w:p>
      <w:pPr>
        <w:spacing w:after="160" w:line="269" w:lineRule="auto"/>
      </w:pPr>
      <w:hyperlink r:id="rId23">
        <w:r>
          <w:rPr>
            <w:color w:val="204E73"/>
            <w:sz w:val="19"/>
          </w:rPr>
          <w:t>https://docs.temporal.io/activity-definition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[S14] Model Context Protocol Specification</w:t>
      </w:r>
    </w:p>
    <w:p>
      <w:pPr>
        <w:keepNext/>
        <w:spacing w:after="20" w:line="269" w:lineRule="auto"/>
      </w:pPr>
      <w:r>
        <w:rPr>
          <w:sz w:val="19"/>
        </w:rPr>
        <w:t>2026-07-28 固定版本</w:t>
      </w:r>
    </w:p>
    <w:p>
      <w:pPr>
        <w:spacing w:after="160" w:line="269" w:lineRule="auto"/>
      </w:pPr>
      <w:hyperlink r:id="rId24">
        <w:r>
          <w:rPr>
            <w:color w:val="204E73"/>
            <w:sz w:val="19"/>
          </w:rPr>
          <w:t>https://modelcontextprotocol.io/specification/2026-07-28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[S15] Agent2Agent Protocol Specification</w:t>
      </w:r>
    </w:p>
    <w:p>
      <w:pPr>
        <w:keepNext/>
        <w:spacing w:after="20" w:line="269" w:lineRule="auto"/>
      </w:pPr>
      <w:r>
        <w:rPr>
          <w:sz w:val="19"/>
        </w:rPr>
        <w:t>官方页面标示 1.0.0</w:t>
      </w:r>
    </w:p>
    <w:p>
      <w:pPr>
        <w:spacing w:after="160" w:line="269" w:lineRule="auto"/>
      </w:pPr>
      <w:hyperlink r:id="rId25">
        <w:r>
          <w:rPr>
            <w:color w:val="204E73"/>
            <w:sz w:val="19"/>
          </w:rPr>
          <w:t>https://a2a-protocol.org/latest/specification/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[S16] PROV-DM: The PROV Data Model</w:t>
      </w:r>
    </w:p>
    <w:p>
      <w:pPr>
        <w:keepNext/>
        <w:spacing w:after="20" w:line="269" w:lineRule="auto"/>
      </w:pPr>
      <w:r>
        <w:rPr>
          <w:sz w:val="19"/>
        </w:rPr>
        <w:t>W3C Recommendation 2013-04-30</w:t>
      </w:r>
    </w:p>
    <w:p>
      <w:pPr>
        <w:spacing w:after="160" w:line="269" w:lineRule="auto"/>
      </w:pPr>
      <w:hyperlink r:id="rId26">
        <w:r>
          <w:rPr>
            <w:color w:val="204E73"/>
            <w:sz w:val="19"/>
          </w:rPr>
          <w:t>https://www.w3.org/TR/prov-dm/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[S17] Johan de Kleer An assumption-based TMS</w:t>
      </w:r>
    </w:p>
    <w:p>
      <w:pPr>
        <w:keepNext/>
        <w:spacing w:after="20" w:line="269" w:lineRule="auto"/>
      </w:pPr>
      <w:r>
        <w:rPr>
          <w:sz w:val="19"/>
        </w:rPr>
        <w:t>Artificial Intelligence 28 1986</w:t>
      </w:r>
    </w:p>
    <w:p>
      <w:pPr>
        <w:spacing w:after="160" w:line="269" w:lineRule="auto"/>
      </w:pPr>
      <w:hyperlink r:id="rId27">
        <w:r>
          <w:rPr>
            <w:color w:val="204E73"/>
            <w:sz w:val="19"/>
          </w:rPr>
          <w:t>https://www.dekleer.org/Publications/An%20Assumption-Based%20TMS.pdf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[S18] Green Karvounarakis Tannen Provenance Semirings</w:t>
      </w:r>
    </w:p>
    <w:p>
      <w:pPr>
        <w:keepNext/>
        <w:spacing w:after="20" w:line="269" w:lineRule="auto"/>
      </w:pPr>
      <w:r>
        <w:rPr>
          <w:sz w:val="19"/>
        </w:rPr>
        <w:t>PODS 2007</w:t>
      </w:r>
    </w:p>
    <w:p>
      <w:pPr>
        <w:spacing w:after="160" w:line="269" w:lineRule="auto"/>
      </w:pPr>
      <w:hyperlink r:id="rId28">
        <w:r>
          <w:rPr>
            <w:color w:val="204E73"/>
            <w:sz w:val="19"/>
          </w:rPr>
          <w:t>https://web.cs.ucdavis.edu/~green/papers/pods07.pdf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[S19] PostgreSQL Transaction Isolation</w:t>
      </w:r>
    </w:p>
    <w:p>
      <w:pPr>
        <w:keepNext/>
        <w:spacing w:after="20" w:line="269" w:lineRule="auto"/>
      </w:pPr>
      <w:r>
        <w:rPr>
          <w:sz w:val="19"/>
        </w:rPr>
        <w:t>核验页面为 PostgreSQL 18</w:t>
      </w:r>
    </w:p>
    <w:p>
      <w:pPr>
        <w:spacing w:after="160" w:line="269" w:lineRule="auto"/>
      </w:pPr>
      <w:hyperlink r:id="rId29">
        <w:r>
          <w:rPr>
            <w:color w:val="204E73"/>
            <w:sz w:val="19"/>
          </w:rPr>
          <w:t>https://www.postgresql.org/docs/current/transaction-iso.html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[S20] RFC 9110 HTTP Semantics</w:t>
      </w:r>
    </w:p>
    <w:p>
      <w:pPr>
        <w:keepNext/>
        <w:spacing w:after="20" w:line="269" w:lineRule="auto"/>
      </w:pPr>
      <w:r>
        <w:rPr>
          <w:sz w:val="19"/>
        </w:rPr>
        <w:t>2022-06</w:t>
      </w:r>
    </w:p>
    <w:p>
      <w:pPr>
        <w:spacing w:after="160" w:line="269" w:lineRule="auto"/>
      </w:pPr>
      <w:hyperlink r:id="rId30">
        <w:r>
          <w:rPr>
            <w:color w:val="204E73"/>
            <w:sz w:val="19"/>
          </w:rPr>
          <w:t>https://www.rfc-editor.org/rfc/rfc9110.html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[S21] RFC 8785 JSON Canonicalization Scheme</w:t>
      </w:r>
    </w:p>
    <w:p>
      <w:pPr>
        <w:keepNext/>
        <w:spacing w:after="20" w:line="269" w:lineRule="auto"/>
      </w:pPr>
      <w:r>
        <w:rPr>
          <w:sz w:val="19"/>
        </w:rPr>
        <w:t>2020-06 Informational</w:t>
      </w:r>
    </w:p>
    <w:p>
      <w:pPr>
        <w:spacing w:after="160" w:line="269" w:lineRule="auto"/>
      </w:pPr>
      <w:hyperlink r:id="rId31">
        <w:r>
          <w:rPr>
            <w:color w:val="204E73"/>
            <w:sz w:val="19"/>
          </w:rPr>
          <w:t>https://www.rfc-editor.org/rfc/rfc8785.html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[S22] Evaluating Very Long-Term Conversational Memory of LLM Agents</w:t>
      </w:r>
    </w:p>
    <w:p>
      <w:pPr>
        <w:keepNext/>
        <w:spacing w:after="20" w:line="269" w:lineRule="auto"/>
      </w:pPr>
      <w:r>
        <w:rPr>
          <w:sz w:val="19"/>
        </w:rPr>
        <w:t>LoCoMo 2024-02-27</w:t>
      </w:r>
    </w:p>
    <w:p>
      <w:pPr>
        <w:spacing w:after="160" w:line="269" w:lineRule="auto"/>
      </w:pPr>
      <w:hyperlink r:id="rId32">
        <w:r>
          <w:rPr>
            <w:color w:val="204E73"/>
            <w:sz w:val="19"/>
          </w:rPr>
          <w:t>https://arxiv.org/abs/2402.17753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[S23] LongMemEval: Benchmarking Chat Assistants on Long-Term Interactive Memory</w:t>
      </w:r>
    </w:p>
    <w:p>
      <w:pPr>
        <w:keepNext/>
        <w:spacing w:after="20" w:line="269" w:lineRule="auto"/>
      </w:pPr>
      <w:r>
        <w:rPr>
          <w:sz w:val="19"/>
        </w:rPr>
        <w:t>2024 初稿 2025-03-04 v2</w:t>
      </w:r>
    </w:p>
    <w:p>
      <w:pPr>
        <w:spacing w:after="160" w:line="269" w:lineRule="auto"/>
      </w:pPr>
      <w:hyperlink r:id="rId33">
        <w:r>
          <w:rPr>
            <w:color w:val="204E73"/>
            <w:sz w:val="19"/>
          </w:rPr>
          <w:t>https://arxiv.org/abs/2410.10813</w:t>
        </w:r>
      </w:hyperlink>
    </w:p>
    <w:p>
      <w:pPr>
        <w:keepNext/>
        <w:spacing w:after="40" w:line="288" w:lineRule="auto"/>
      </w:pPr>
      <w:r>
        <w:rPr>
          <w:b/>
          <w:sz w:val="20"/>
        </w:rPr>
        <w:t>[S24] CloudEvents Specification</w:t>
      </w:r>
    </w:p>
    <w:p>
      <w:pPr>
        <w:keepNext/>
        <w:spacing w:after="20" w:line="269" w:lineRule="auto"/>
      </w:pPr>
      <w:r>
        <w:rPr>
          <w:sz w:val="19"/>
        </w:rPr>
        <w:t>1.0.2 固定版本</w:t>
      </w:r>
    </w:p>
    <w:p>
      <w:pPr>
        <w:spacing w:after="160" w:line="269" w:lineRule="auto"/>
      </w:pPr>
      <w:hyperlink r:id="rId34">
        <w:r>
          <w:rPr>
            <w:color w:val="204E73"/>
            <w:sz w:val="19"/>
          </w:rPr>
          <w:t>https://github.com/cloudevents/spec/blob/v1.0.2/cloudevents/spec.md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面向大模型智能体的数据结构设计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2" w:lineRule="auto" w:after="140"/>
    </w:pPr>
    <w:rPr>
      <w:rFonts w:ascii="Noto Sans CJK SC" w:hAnsi="Noto Sans CJK SC" w:eastAsia="Noto Sans CJK SC" w:cs="Noto Sans CJK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b w:val="0"/>
      <w:i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b w:val="0"/>
      <w:i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88" w:lineRule="auto"/>
      <w:outlineLvl w:val="0"/>
    </w:pPr>
    <w:rPr>
      <w:rFonts w:ascii="Noto Sans CJK SC" w:hAnsi="Noto Sans CJK SC" w:eastAsia="Noto Sans CJK SC" w:cs="Noto Sans CJK SC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288" w:lineRule="auto"/>
      <w:outlineLvl w:val="1"/>
    </w:pPr>
    <w:rPr>
      <w:rFonts w:ascii="Noto Sans CJK SC" w:hAnsi="Noto Sans CJK SC" w:eastAsia="Noto Sans CJK SC" w:cs="Noto Sans CJK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76" w:lineRule="auto"/>
      <w:contextualSpacing/>
    </w:pPr>
    <w:rPr>
      <w:rFonts w:ascii="Noto Sans CJK SC" w:hAnsi="Noto Sans CJK SC" w:eastAsia="Noto Sans CJK SC" w:cs="Noto Sans CJK SC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Noto Sans CJK SC" w:hAnsi="Noto Sans CJK SC" w:eastAsia="Noto Sans CJK SC" w:cs="Noto Sans CJK SC"/>
      <w:b w:val="0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html/2310.08560v2" TargetMode="External"/><Relationship Id="rId12" Type="http://schemas.openxmlformats.org/officeDocument/2006/relationships/hyperlink" Target="https://arxiv.org/html/2502.12110v11" TargetMode="External"/><Relationship Id="rId13" Type="http://schemas.openxmlformats.org/officeDocument/2006/relationships/hyperlink" Target="https://arxiv.org/html/2504.19413v1" TargetMode="External"/><Relationship Id="rId14" Type="http://schemas.openxmlformats.org/officeDocument/2006/relationships/hyperlink" Target="https://arxiv.org/html/2501.13956v1" TargetMode="External"/><Relationship Id="rId15" Type="http://schemas.openxmlformats.org/officeDocument/2006/relationships/hyperlink" Target="https://arxiv.org/html/2601.03236v1" TargetMode="External"/><Relationship Id="rId16" Type="http://schemas.openxmlformats.org/officeDocument/2006/relationships/hyperlink" Target="https://arxiv.org/html/2608.29606v1" TargetMode="External"/><Relationship Id="rId17" Type="http://schemas.openxmlformats.org/officeDocument/2006/relationships/hyperlink" Target="https://arxiv.org/html/2605.11032v1" TargetMode="External"/><Relationship Id="rId18" Type="http://schemas.openxmlformats.org/officeDocument/2006/relationships/hyperlink" Target="https://arxiv.org/html/2602.11243v4" TargetMode="External"/><Relationship Id="rId19" Type="http://schemas.openxmlformats.org/officeDocument/2006/relationships/hyperlink" Target="https://docs.langchain.com/oss/python/langgraph/persistence" TargetMode="External"/><Relationship Id="rId20" Type="http://schemas.openxmlformats.org/officeDocument/2006/relationships/hyperlink" Target="https://docs.langchain.com/oss/python/langgraph/checkpointers" TargetMode="External"/><Relationship Id="rId21" Type="http://schemas.openxmlformats.org/officeDocument/2006/relationships/hyperlink" Target="https://docs.langchain.com/oss/python/langgraph/functional-api" TargetMode="External"/><Relationship Id="rId22" Type="http://schemas.openxmlformats.org/officeDocument/2006/relationships/hyperlink" Target="https://docs.temporal.io/encyclopedia/event-history" TargetMode="External"/><Relationship Id="rId23" Type="http://schemas.openxmlformats.org/officeDocument/2006/relationships/hyperlink" Target="https://docs.temporal.io/activity-definition" TargetMode="External"/><Relationship Id="rId24" Type="http://schemas.openxmlformats.org/officeDocument/2006/relationships/hyperlink" Target="https://modelcontextprotocol.io/specification/2026-07-28" TargetMode="External"/><Relationship Id="rId25" Type="http://schemas.openxmlformats.org/officeDocument/2006/relationships/hyperlink" Target="https://a2a-protocol.org/latest/specification/" TargetMode="External"/><Relationship Id="rId26" Type="http://schemas.openxmlformats.org/officeDocument/2006/relationships/hyperlink" Target="https://www.w3.org/TR/prov-dm/" TargetMode="External"/><Relationship Id="rId27" Type="http://schemas.openxmlformats.org/officeDocument/2006/relationships/hyperlink" Target="https://www.dekleer.org/Publications/An%20Assumption-Based%20TMS.pdf" TargetMode="External"/><Relationship Id="rId28" Type="http://schemas.openxmlformats.org/officeDocument/2006/relationships/hyperlink" Target="https://web.cs.ucdavis.edu/~green/papers/pods07.pdf" TargetMode="External"/><Relationship Id="rId29" Type="http://schemas.openxmlformats.org/officeDocument/2006/relationships/hyperlink" Target="https://www.postgresql.org/docs/current/transaction-iso.html" TargetMode="External"/><Relationship Id="rId30" Type="http://schemas.openxmlformats.org/officeDocument/2006/relationships/hyperlink" Target="https://www.rfc-editor.org/rfc/rfc9110.html" TargetMode="External"/><Relationship Id="rId31" Type="http://schemas.openxmlformats.org/officeDocument/2006/relationships/hyperlink" Target="https://www.rfc-editor.org/rfc/rfc8785.html" TargetMode="External"/><Relationship Id="rId32" Type="http://schemas.openxmlformats.org/officeDocument/2006/relationships/hyperlink" Target="https://arxiv.org/abs/2402.17753" TargetMode="External"/><Relationship Id="rId33" Type="http://schemas.openxmlformats.org/officeDocument/2006/relationships/hyperlink" Target="https://arxiv.org/abs/2410.10813" TargetMode="External"/><Relationship Id="rId34" Type="http://schemas.openxmlformats.org/officeDocument/2006/relationships/hyperlink" Target="https://github.com/cloudevents/spec/blob/v1.0.2/cloudevents/spec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面向大模型智能体的数据结构设计</dc:title>
  <dc:subject>研究依据 形式化模型 操作语义与验证方案</dc:subject>
  <dc:creator/>
  <cp:keywords>LLM Agent 数据结构 证据依赖 状态机 并发 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