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del w:id="900001" w:author="Claude" w:date="2026-10-28T00:00:00Z">
        <w:r>
          <w:rPr>
            <w:rFonts w:ascii="Times New Roman" w:hAnsi="Times New Roman" w:cs="Times New Roman"/>
            <w:lang w:eastAsia="zh-CN"/>
          </w:rPr>
          <w:delText xml:space="preserve">单一方法难以同时兼顾可解释性与精度：确定性加权类方法过程透明但本质上是静态的，概率与机器学习类方法具备动态更新能力但依赖大量数据支撑。这一对比表明，发展</w:delText>
        </w:r>
        <w:r>
          <w:rPr>
            <w:rFonts w:hint="eastAsia" w:ascii="Times New Roman" w:hAnsi="Times New Roman" w:cs="Times New Roman"/>
            <w:lang w:eastAsia="zh-CN"/>
          </w:rPr>
          <w:delText>“</w:delText>
        </w:r>
        <w:r>
          <w:rPr>
            <w:rFonts w:ascii="Times New Roman" w:hAnsi="Times New Roman" w:cs="Times New Roman"/>
            <w:lang w:eastAsia="zh-CN"/>
          </w:rPr>
          <w:delText>机理约束+数据驱动</w:delText>
        </w:r>
        <w:r>
          <w:rPr>
            <w:rFonts w:hint="eastAsia" w:ascii="Times New Roman" w:hAnsi="Times New Roman" w:cs="Times New Roman"/>
            <w:lang w:eastAsia="zh-CN"/>
          </w:rPr>
          <w:delText>”</w:delText>
        </w:r>
        <w:r>
          <w:rPr>
            <w:rFonts w:ascii="Times New Roman" w:hAnsi="Times New Roman" w:cs="Times New Roman"/>
            <w:lang w:eastAsia="zh-CN"/>
          </w:rPr>
          <w:delText xml:space="preserve">的混合评价模型是必要的。</w:delText>
        </w:r>
      </w:del>
      <w:ins w:id="900002" w:author="Claude" w:date="2026-10-28T00:00:00Z">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ins>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del w:id="900003" w:author="Claude" w:date="2026-10-28T00:00:00Z">
        <w:r>
          <w:rPr>
            <w:rFonts w:ascii="Times New Roman" w:hAnsi="Times New Roman" w:cs="Times New Roman"/>
            <w:highlight w:val="yellow"/>
            <w:lang w:eastAsia="zh-CN"/>
          </w:rPr>
          <w:delText>本文构建以规范导则优先级确定基础权重、以</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指标与失效模式</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关联矩阵重构风险模式、以运行管理作为安全屏障修正、以物理临界与巡检观测证据双重门控的动态透明评价模型，</w:delText>
        </w:r>
        <w:r>
          <w:rPr>
            <w:rFonts w:ascii="Times New Roman" w:hAnsi="Times New Roman" w:cs="Times New Roman"/>
            <w:lang w:eastAsia="zh-CN"/>
          </w:rPr>
          <w:delText>使评价结论兼具物理机理支撑与现场证据支撑。</w:delText>
        </w:r>
      </w:del>
      <w:ins w:id="900004" w:author="Claude" w:date="2026-10-28T00:00:00Z">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ins>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del w:id="900005" w:author="Claude" w:date="2026-10-28T00:00:00Z">
        <w:r>
          <w:rPr>
            <w:rFonts w:hint="eastAsia"/>
            <w:highlight w:val="yellow"/>
            <w:lang w:val="en-US" w:eastAsia="zh-CN"/>
          </w:rPr>
          <w:delText>问题——干了什么写法。</w:delText>
        </w:r>
        <w:r>
          <w:rPr>
            <w:rFonts w:ascii="Times New Roman" w:hAnsi="Times New Roman"/>
            <w:lang w:eastAsia="zh-CN"/>
          </w:rPr>
          <w:delText>堤防渗流安全评价是连接渗流机理分析与工程管理决策的关键环节。第4章以透明地质模型为基础，完成了多水位工况下的二维、三维渗流计算，给出了水头场、法向出逸梯度和潜在管涌通道等定量结果；</w:delText>
        </w:r>
        <w:r>
          <w:rPr>
            <w:rFonts w:hint="eastAsia"/>
            <w:highlight w:val="yellow"/>
            <w:lang w:eastAsia="zh-CN"/>
          </w:rPr>
          <w:delText>（</w:delText>
        </w:r>
        <w:r>
          <w:rPr>
            <w:rFonts w:hint="eastAsia"/>
            <w:highlight w:val="yellow"/>
            <w:lang w:val="en-US" w:eastAsia="zh-CN"/>
          </w:rPr>
          <w:delText>从第一章找句子</w:delText>
        </w:r>
        <w:r>
          <w:rPr>
            <w:rFonts w:hint="eastAsia"/>
            <w:highlight w:val="yellow"/>
            <w:lang w:eastAsia="zh-CN"/>
          </w:rPr>
          <w:delText>）</w:delText>
        </w:r>
        <w:r>
          <w:rPr>
            <w:rFonts w:ascii="Times New Roman" w:hAnsi="Times New Roman"/>
            <w:highlight w:val="yellow"/>
            <w:lang w:eastAsia="zh-CN"/>
          </w:rPr>
          <w:delText>无人机红外巡检则能够在较短时间内获取堤防表面渗漏迹象的实景观测</w:delText>
        </w:r>
        <w:r>
          <w:rPr>
            <w:rFonts w:ascii="Times New Roman" w:hAnsi="Times New Roman"/>
            <w:lang w:eastAsia="zh-CN"/>
          </w:rPr>
          <w:delText>。然而，计算结果与巡检图像本身并不构成安全结论</w:delText>
        </w:r>
        <w:r>
          <w:rPr>
            <w:rFonts w:ascii="Times New Roman" w:hAnsi="Times New Roman"/>
            <w:highlight w:val="yellow"/>
            <w:lang w:eastAsia="zh-CN"/>
          </w:rPr>
          <w:delText>：</w:delText>
        </w:r>
        <w:r>
          <w:rPr>
            <w:rFonts w:ascii="Times New Roman" w:hAnsi="Times New Roman"/>
            <w:lang w:eastAsia="zh-CN"/>
          </w:rPr>
          <w:delText>前者的精度受地质概化与参数取值的制约，且无法反映堤防表面已经出现的病害，后者能够发现温度异常，却缺少与地质体、渗流场的空间关联和面向评价的定量表达</w:delText>
        </w:r>
        <w:r>
          <w:rPr>
            <w:rFonts w:ascii="Times New Roman" w:hAnsi="Times New Roman"/>
            <w:vertAlign w:val="superscript"/>
            <w:lang w:eastAsia="zh-CN"/>
          </w:rPr>
          <w:delText>[23,28]</w:delText>
        </w:r>
        <w:r>
          <w:rPr>
            <w:rFonts w:ascii="Times New Roman" w:hAnsi="Times New Roman"/>
            <w:lang w:eastAsia="zh-CN"/>
          </w:rPr>
          <w:delText>。</w:delText>
        </w:r>
        <w:r>
          <w:rPr>
            <w:rFonts w:ascii="Times New Roman" w:hAnsi="Times New Roman"/>
            <w:highlight w:val="yellow"/>
            <w:lang w:eastAsia="zh-CN"/>
          </w:rPr>
          <w:delText>管涌与内部侵蚀是土石堤坝失事的主要原因之一</w:delText>
        </w:r>
        <w:r>
          <w:rPr>
            <w:rFonts w:ascii="Times New Roman" w:hAnsi="Times New Roman"/>
            <w:highlight w:val="yellow"/>
            <w:vertAlign w:val="superscript"/>
            <w:lang w:eastAsia="zh-CN"/>
          </w:rPr>
          <w:delText>[206-207]</w:delText>
        </w:r>
        <w:r>
          <w:rPr>
            <w:rFonts w:ascii="Times New Roman" w:hAnsi="Times New Roman"/>
            <w:lang w:eastAsia="zh-CN"/>
          </w:rPr>
          <w:delText>，堤防渗流安全评价在这一环节存在的不足因而尤为突出，主要表现在三个方面：一是机理计算与现场观测相互割裂，巡检获取的病害信息尚未作为可量化、可追溯的证据进入评价模型；二是评价以静态加权汇总为主，综合得分容易掩盖个别达到临界状态的指标，难以识别主控失效模式及其风险来源</w:delText>
        </w:r>
        <w:r>
          <w:rPr>
            <w:rFonts w:ascii="Times New Roman" w:hAnsi="Times New Roman"/>
            <w:vertAlign w:val="superscript"/>
            <w:lang w:eastAsia="zh-CN"/>
          </w:rPr>
          <w:delText>[139,158]</w:delText>
        </w:r>
        <w:r>
          <w:rPr>
            <w:rFonts w:ascii="Times New Roman" w:hAnsi="Times New Roman"/>
            <w:lang w:eastAsia="zh-CN"/>
          </w:rPr>
          <w:delText>；三是缺乏随水位变化、巡检发现与复核结果滚动更新的机制，评价表也难以区分已检查未发现异常与未检查、算法判为可疑与现场确认管涌等不同的证据状态</w:delText>
        </w:r>
        <w:r>
          <w:rPr>
            <w:rFonts w:ascii="Times New Roman" w:hAnsi="Times New Roman"/>
            <w:vertAlign w:val="superscript"/>
            <w:lang w:eastAsia="zh-CN"/>
          </w:rPr>
          <w:delText>[140]</w:delText>
        </w:r>
        <w:r>
          <w:rPr>
            <w:rFonts w:ascii="Times New Roman" w:hAnsi="Times New Roman"/>
            <w:lang w:eastAsia="zh-CN"/>
          </w:rPr>
          <w:delText>。</w:delText>
        </w:r>
      </w:del>
      <w:ins w:id="900006" w:author="Claude" w:date="2026-10-28T00:00:00Z">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ins>
    </w:p>
    <w:p w14:paraId="5092BCD8">
      <w:pPr>
        <w:spacing w:after="0" w:line="360" w:lineRule="auto"/>
        <w:rPr>
          <w:lang w:eastAsia="zh-CN"/>
        </w:rPr>
      </w:pPr>
      <w:del w:id="900007" w:author="Claude" w:date="2026-10-28T00:00:00Z">
        <w:r>
          <w:rPr>
            <w:rFonts w:ascii="Times New Roman" w:hAnsi="Times New Roman"/>
            <w:lang w:eastAsia="zh-CN"/>
          </w:rPr>
          <w:delText>针对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将渗流计算指标与巡检病害信息统一表达为带有来源、时间、空间范围和证据状态的评价证据，依次构建评价框架与指标体系，提出指标量化、赋权以及无人机巡检识别、空间配准与证据接入方法，建立物理规则链与随机森林相结合、以序数物理下限约束学习模型的评价模型，采用多目标策略评价选定模型的运行参数，并通过受控情景、工程历史断面、渗流计算结果接入与现场巡检结果接入等六个案例对评价方法进行检验。</w:delText>
        </w:r>
      </w:del>
      <w:ins w:id="900008" w:author="Claude" w:date="2026-10-28T00:00:00Z">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ins>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del w:id="900009" w:author="Claude" w:date="2026-10-28T00:00:00Z">
        <w:r>
          <w:rPr>
            <w:rFonts w:ascii="Times New Roman" w:hAnsi="Times New Roman"/>
            <w:lang w:eastAsia="zh-CN"/>
          </w:rPr>
          <w:delText>本章的评价对象为指定水位工况和</w:delText>
        </w:r>
        <w:r>
          <w:rPr>
            <w:rFonts w:ascii="Times New Roman" w:hAnsi="Times New Roman"/>
            <w:highlight w:val="yellow"/>
            <w:lang w:eastAsia="zh-CN"/>
          </w:rPr>
          <w:delText>评价时刻下</w:delText>
        </w:r>
        <w:r>
          <w:rPr>
            <w:rFonts w:ascii="Times New Roman" w:hAnsi="Times New Roman"/>
            <w:lang w:eastAsia="zh-CN"/>
          </w:rPr>
          <w:delText>堤段的渗流安全状态。堤段以代表断面表示，并对应堤轴线上确定的桩号区间；水位工况与渗流计算采用的水位一致；评价时刻决定可以采用的巡检、监测和复核资料，</w:delText>
        </w:r>
        <w:r>
          <w:rPr>
            <w:rFonts w:ascii="Times New Roman" w:hAnsi="Times New Roman"/>
            <w:highlight w:val="yellow"/>
            <w:lang w:eastAsia="zh-CN"/>
          </w:rPr>
          <w:delText>评价时刻</w:delText>
        </w:r>
        <w:r>
          <w:rPr>
            <w:rFonts w:ascii="Times New Roman" w:hAnsi="Times New Roman"/>
            <w:lang w:eastAsia="zh-CN"/>
          </w:rPr>
          <w:delText>之后入库的资料只进入之后的评价。按此定义，同一断面在不同水位或不同时刻可以得到不同的结论，评价结果具有明确的适用条件。</w:delText>
        </w:r>
      </w:del>
      <w:ins w:id="900010" w:author="Claude" w:date="2026-10-28T00:00:00Z">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ins>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del w:id="900023" w:author="Claude" w:date="2026-10-28T00:00:00Z">
              <w:r>
                <w:rPr>
                  <w:rFonts w:ascii="Times New Roman" w:hAnsi="Times New Roman"/>
                  <w:sz w:val="21"/>
                  <w:lang w:eastAsia="zh-CN"/>
                </w:rPr>
                <w:delText xml:space="preserve">评价时刻</w:delText>
              </w:r>
            </w:del>
            <w:ins w:id="900024" w:author="Claude" w:date="2026-10-28T00:00:00Z">
              <w:r>
                <w:rPr>
                  <w:rFonts w:ascii="Times New Roman" w:hAnsi="Times New Roman"/>
                  <w:sz w:val="21"/>
                  <w:lang w:eastAsia="zh-CN"/>
                </w:rPr>
                <w:t>资料截止时间</w:t>
              </w:r>
            </w:ins>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del w:id="900025" w:author="Claude" w:date="2026-10-28T00:00:00Z">
              <w:r>
                <w:rPr>
                  <w:rFonts w:ascii="Times New Roman" w:hAnsi="Times New Roman"/>
                  <w:sz w:val="21"/>
                  <w:lang w:eastAsia="zh-CN"/>
                </w:rPr>
                <w:delText>安全等级与主控失效模式</w:delText>
              </w:r>
            </w:del>
            <w:ins w:id="900026" w:author="Claude" w:date="2026-10-28T00:00:00Z">
              <w:r>
                <w:rPr>
                  <w:rFonts w:ascii="Times New Roman" w:hAnsi="Times New Roman"/>
                  <w:sz w:val="21"/>
                  <w:lang w:eastAsia="zh-CN"/>
                </w:rPr>
                <w:t>安全等级，即A级（安全）、B级（基本安全）或C级（不安全），证据不足时给出等级范围；主控失效模式</w:t>
              </w:r>
            </w:ins>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del w:id="900027" w:author="Claude" w:date="2026-10-28T00:00:00Z">
        <w:r>
          <w:rPr>
            <w:rFonts w:ascii="Times New Roman" w:hAnsi="Times New Roman"/>
            <w:lang w:eastAsia="zh-CN"/>
          </w:rPr>
          <w:delText>表5-1中的示例取自K45+500断面的评价结果。该断面29项指标中只有14项有值，但渗流指标已达到临界，因此仍可以给出C级结论，同时将管涌判据的取值部位列为待办事项。可见，评价结论的完整性与资料的完整性并不等同，评价需要同时说明结论是什么以及结论在多大程度上依赖尚未取得的资料。</w:delText>
        </w:r>
      </w:del>
      <w:ins w:id="900028" w:author="Claude" w:date="2026-10-28T00:00:00Z">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ins>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del w:id="900021" w:author="Claude" w:date="2026-10-28T00:00:00Z">
              <w:r>
                <w:rPr>
                  <w:rFonts w:ascii="Times New Roman" w:hAnsi="Times New Roman"/>
                  <w:sz w:val="21"/>
                  <w:lang w:eastAsia="zh-CN"/>
                </w:rPr>
                <w:delText xml:space="preserve">评价时刻</w:delText>
              </w:r>
            </w:del>
            <w:ins w:id="900022" w:author="Claude" w:date="2026-10-28T00:00:00Z">
              <w:r>
                <w:rPr>
                  <w:rFonts w:ascii="Times New Roman" w:hAnsi="Times New Roman"/>
                  <w:sz w:val="21"/>
                  <w:lang w:eastAsia="zh-CN"/>
                </w:rPr>
                <w:t>资料截止时间</w:t>
              </w:r>
            </w:ins>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del w:id="900029" w:author="Claude" w:date="2026-10-28T00:00:00Z">
              <w:r>
                <w:rPr>
                  <w:rFonts w:ascii="Times New Roman" w:hAnsi="Times New Roman"/>
                  <w:sz w:val="21"/>
                  <w:lang w:eastAsia="zh-CN"/>
                </w:rPr>
                <w:delText>一级（红）、二级（橙）、三级（黄）或常规，附响应建议</w:delText>
              </w:r>
            </w:del>
            <w:ins w:id="900030" w:author="Claude" w:date="2026-10-28T00:00:00Z">
              <w:r>
                <w:rPr>
                  <w:rFonts w:ascii="Times New Roman" w:hAnsi="Times New Roman"/>
                  <w:sz w:val="21"/>
                  <w:lang w:eastAsia="zh-CN"/>
                </w:rPr>
                <w:t>一级、二级、三级或常规，附响应建议；显示颜色见表5-18</w:t>
              </w:r>
            </w:ins>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del w:id="900011" w:author="Claude" w:date="2026-10-28T00:00:00Z">
        <w:r>
          <w:rPr>
            <w:rFonts w:ascii="Times New Roman" w:hAnsi="Times New Roman"/>
            <w:lang w:eastAsia="zh-CN"/>
          </w:rPr>
          <w:delText xml:space="preserve">同一时刻</w:delText>
        </w:r>
      </w:del>
      <w:ins w:id="900012" w:author="Claude" w:date="2026-10-28T00:00:00Z">
        <w:r>
          <w:rPr>
            <w:rFonts w:ascii="Times New Roman" w:hAnsi="Times New Roman"/>
            <w:lang w:eastAsia="zh-CN"/>
          </w:rPr>
          <w:t>同一资料截止时间</w:t>
        </w:r>
      </w:ins>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del w:id="900013" w:author="Claude" w:date="2026-10-28T00:00:00Z">
              <w:r>
                <w:rPr>
                  <w:rFonts w:ascii="Times New Roman" w:hAnsi="Times New Roman"/>
                  <w:sz w:val="21"/>
                  <w:lang w:eastAsia="zh-CN"/>
                </w:rPr>
                <w:delText xml:space="preserve">评价时刻</w:delText>
              </w:r>
            </w:del>
            <w:ins w:id="900014" w:author="Claude" w:date="2026-10-28T00:00:00Z">
              <w:r>
                <w:rPr>
                  <w:rFonts w:ascii="Times New Roman" w:hAnsi="Times New Roman"/>
                  <w:sz w:val="21"/>
                  <w:lang w:eastAsia="zh-CN"/>
                </w:rPr>
                <w:t>资料截止时间</w:t>
              </w:r>
            </w:ins>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del w:id="900015" w:author="Claude" w:date="2026-10-28T00:00:00Z">
        <w:r>
          <w:rPr>
            <w:rFonts w:ascii="Times New Roman" w:hAnsi="Times New Roman"/>
            <w:lang w:eastAsia="zh-CN"/>
          </w:rPr>
          <w:delText xml:space="preserve">以水位工况和评价时刻确定评价单元</w:delText>
        </w:r>
      </w:del>
      <w:ins w:id="900016" w:author="Claude" w:date="2026-10-28T00:00:00Z">
        <w:r>
          <w:rPr>
            <w:rFonts w:ascii="Times New Roman" w:hAnsi="Times New Roman"/>
            <w:lang w:eastAsia="zh-CN"/>
          </w:rPr>
          <w:t>以水位工况和资料截止时间确定评价单元</w:t>
        </w:r>
      </w:ins>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del w:id="900051" w:author="Claude" w:date="2026-10-28T00:00:00Z">
        <w:r>
          <w:rPr>
            <w:rFonts w:ascii="Times New Roman" w:hAnsi="Times New Roman"/>
            <w:lang w:eastAsia="zh-CN"/>
          </w:rPr>
          <w:delText xml:space="preserve">（图5-5）</w:delText>
        </w:r>
      </w:del>
      <w:ins w:id="900052" w:author="Claude" w:date="2026-10-28T00:00:00Z">
        <w:r>
          <w:rPr>
            <w:rFonts w:ascii="Times New Roman" w:hAnsi="Times New Roman"/>
            <w:lang w:eastAsia="zh-CN"/>
          </w:rPr>
          <w:t>（图5-5a、b）</w:t>
        </w:r>
      </w:ins>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ins w:id="900053" w:author="Claude" w:date="2026-10-28T00:00:00Z">
        <w:r>
          <w:rPr>
            <w:rFonts w:ascii="Times New Roman" w:hAnsi="Times New Roman"/>
            <w:lang w:eastAsia="zh-CN"/>
          </w:rPr>
          <w:t>现场作业时，地面人员在堤顶道路就近起降无人机，按设定航线和航高沿堤采集可见光与红外图像（图5-5c）。</w:t>
        </w:r>
      </w:ins>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ins w:id="900054" w:author="Claude" w:date="2026-10-28T00:00:00Z">
        <w:r>
          <w:rPr>
            <w:rFonts w:ascii="Times New Roman" w:hAnsi="Times New Roman"/>
            <w:sz w:val="21"/>
            <w:szCs w:val="21"/>
            <w:lang w:eastAsia="zh-CN"/>
          </w:rPr>
          <w:t>与现场作业</w:t>
        </w:r>
      </w:ins>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ins w:id="900055" w:author="Claude" w:date="2026-10-28T00:00:00Z">
        <w:r>
          <w:rPr>
            <w:rFonts w:ascii="Times New Roman" w:hAnsi="Times New Roman" w:cs="Times New Roman"/>
            <w:sz w:val="21"/>
            <w:szCs w:val="21"/>
            <w:lang w:eastAsia="zh-CN"/>
          </w:rPr>
          <w:t xml:space="preserve"> and on-site operation</w:t>
        </w:r>
      </w:ins>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del w:id="900017" w:author="Claude" w:date="2026-10-28T00:00:00Z">
        <w:r>
          <w:rPr>
            <w:rFonts w:ascii="Times New Roman" w:hAnsi="Times New Roman"/>
            <w:lang w:eastAsia="zh-CN"/>
          </w:rPr>
          <w:delText xml:space="preserve">在评价时刻前已入库的记录参与评价，迟到记录只进入之后的评价</w:delText>
        </w:r>
      </w:del>
      <w:ins w:id="900018" w:author="Claude" w:date="2026-10-28T00:00:00Z">
        <w:r>
          <w:rPr>
            <w:rFonts w:ascii="Times New Roman" w:hAnsi="Times New Roman"/>
            <w:lang w:eastAsia="zh-CN"/>
          </w:rPr>
          <w:t>在资料截止时间前已入库的记录参与评价，迟到记录进入下一轮评价</w:t>
        </w:r>
      </w:ins>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del w:id="900019" w:author="Claude" w:date="2026-10-28T00:00:00Z">
        <w:r>
          <w:rPr>
            <w:rFonts w:ascii="Times New Roman" w:hAnsi="Times New Roman"/>
            <w:lang w:eastAsia="zh-CN"/>
          </w:rPr>
          <w:delText xml:space="preserve">水位工况、评价时刻和规则版本</w:delText>
        </w:r>
      </w:del>
      <w:ins w:id="900020" w:author="Claude" w:date="2026-10-28T00:00:00Z">
        <w:r>
          <w:rPr>
            <w:rFonts w:ascii="Times New Roman" w:hAnsi="Times New Roman"/>
            <w:lang w:eastAsia="zh-CN"/>
          </w:rPr>
          <w:t>水位工况、资料截止时间和规则版本</w:t>
        </w:r>
      </w:ins>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ins w:id="900038" w:author="Claude" w:date="2026-10-28T00:00:00Z">
        <w:r>
          <w:rPr>
            <w:rFonts w:ascii="Times New Roman" w:hAnsi="Times New Roman"/>
            <w:lang w:eastAsia="zh-CN"/>
          </w:rPr>
          <w:t>平台显示时，预警与安全等级共用红色、琥珀色和蓝色三种色相，一级预警为红色，二级、三级预警为琥珀色并以文字标注区分，常规状态为蓝色。</w:t>
        </w:r>
      </w:ins>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del w:id="900031" w:author="Claude" w:date="2026-10-28T00:00:00Z">
              <w:r>
                <w:rPr>
                  <w:rFonts w:ascii="Times New Roman" w:hAnsi="Times New Roman"/>
                  <w:sz w:val="21"/>
                </w:rPr>
                <w:delText xml:space="preserve">（红）</w:delText>
              </w:r>
            </w:del>
            <w:ins w:id="900032" w:author="Claude" w:date="2026-10-28T00:00:00Z">
              <w:r>
                <w:rPr>
                  <w:rFonts w:ascii="Times New Roman" w:hAnsi="Times New Roman"/>
                  <w:sz w:val="21"/>
                </w:rPr>
                <w:t>（红色）</w:t>
              </w:r>
            </w:ins>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del w:id="900033" w:author="Claude" w:date="2026-10-28T00:00:00Z">
              <w:r>
                <w:rPr>
                  <w:rFonts w:ascii="Times New Roman" w:hAnsi="Times New Roman"/>
                  <w:sz w:val="21"/>
                </w:rPr>
                <w:delText xml:space="preserve">（橙）</w:delText>
              </w:r>
            </w:del>
            <w:ins w:id="900034" w:author="Claude" w:date="2026-10-28T00:00:00Z">
              <w:r>
                <w:rPr>
                  <w:rFonts w:ascii="Times New Roman" w:hAnsi="Times New Roman"/>
                  <w:sz w:val="21"/>
                </w:rPr>
                <w:t>（琥珀色）</w:t>
              </w:r>
            </w:ins>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del w:id="900035" w:author="Claude" w:date="2026-10-28T00:00:00Z">
              <w:r>
                <w:rPr>
                  <w:rFonts w:ascii="Times New Roman" w:hAnsi="Times New Roman"/>
                  <w:sz w:val="21"/>
                </w:rPr>
                <w:delText xml:space="preserve">（黄）</w:delText>
              </w:r>
            </w:del>
            <w:ins w:id="900036" w:author="Claude" w:date="2026-10-28T00:00:00Z">
              <w:r>
                <w:rPr>
                  <w:rFonts w:ascii="Times New Roman" w:hAnsi="Times New Roman"/>
                  <w:sz w:val="21"/>
                </w:rPr>
                <w:t>（琥珀色）</w:t>
              </w:r>
            </w:ins>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ins w:id="900037" w:author="Claude" w:date="2026-10-28T00:00:00Z">
              <w:r>
                <w:rPr>
                  <w:rFonts w:ascii="Times New Roman" w:hAnsi="Times New Roman"/>
                  <w:sz w:val="21"/>
                </w:rPr>
                <w:t>（蓝色）</w:t>
              </w:r>
            </w:ins>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del w:id="900056" w:author="Claude" w:date="2026-10-28T00:00:00Z">
        <w:r>
          <w:rPr>
            <w:rFonts w:ascii="Times New Roman" w:hAnsi="Times New Roman"/>
            <w:lang w:eastAsia="zh-CN"/>
          </w:rPr>
          <w:delText xml:space="preserve">在875条受控情景记录上</w:delText>
        </w:r>
      </w:del>
      <w:ins w:id="900057" w:author="Claude" w:date="2026-10-28T00:00:00Z">
        <w:r>
          <w:rPr>
            <w:rFonts w:ascii="Times New Roman" w:hAnsi="Times New Roman"/>
            <w:lang w:eastAsia="zh-CN"/>
          </w:rPr>
          <w:t>在875条受控情景记录（设定方法见5.3.2.2节）上</w:t>
        </w:r>
      </w:ins>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del w:id="900058" w:author="Claude" w:date="2026-10-28T00:00:00Z">
        <w:r>
          <w:rPr>
            <w:rFonts w:ascii="Times New Roman" w:hAnsi="Times New Roman"/>
            <w:lang w:eastAsia="zh-CN"/>
          </w:rPr>
          <w:delText>随机森林的训练数据与识别模型的图像数据相互独立。由于具有独立安全鉴定结论的真实堤段数量很少，不足以训练和检验学习模型，样本集采用评价程序按规则生成的875条受控情景记录，包括安全基准、漫顶、渗流、边坡、冲刷、穿堤建筑物和复合7类情景，每类分安全、轻微、中等、严重、临界5档，每档25条；安全和轻微记为A级（350条），中等记为B级（175条），严重和临界记为C级（350条）。参考等级是生成程序给出的标准答案，用于检验方法行为，不是现场鉴定结论；第4章的计算结果和本章的现场巡检资料均未参与训练。另用5个随机种子各生成875条记录，用于检验结论的稳定性。模型输入为表5-19所列14项特征，情景类型、严重程度和综合得分等直接关联参考等级的信息不作为特征。14项特征中不含穿堤建筑物状态，这一缺口将使学习模型无法区分穿堤建筑物情景的严重程度。</w:delText>
        </w:r>
      </w:del>
      <w:ins w:id="900059" w:author="Claude" w:date="2026-10-28T00:00:00Z">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ins>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del w:id="900060" w:author="Claude" w:date="2026-10-28T00:00:00Z">
        <w:r>
          <w:rPr>
            <w:rFonts w:ascii="Times New Roman" w:hAnsi="Times New Roman"/>
            <w:lang w:eastAsia="zh-CN"/>
          </w:rPr>
          <w:delText xml:space="preserve">受控情景的参考等级由生成程序给出</w:delText>
        </w:r>
      </w:del>
      <w:ins w:id="900061" w:author="Claude" w:date="2026-10-28T00:00:00Z">
        <w:r>
          <w:rPr>
            <w:rFonts w:ascii="Times New Roman" w:hAnsi="Times New Roman"/>
            <w:lang w:eastAsia="zh-CN"/>
          </w:rPr>
          <w:t>受控情景的参考等级由情景设定给出</w:t>
        </w:r>
      </w:ins>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r>
        <w:rPr>
          <w:rFonts w:ascii="Times New Roman" w:hAnsi="Times New Roman"/>
          <w:lang w:eastAsia="zh-CN"/>
        </w:rPr>
        <w:t>本案例检验各评价方法在同一组受控记录上的判别能力，重点考察总体精度与C级漏判之间的关系。</w:t>
      </w:r>
      <w:del w:id="900062" w:author="Claude" w:date="2026-10-28T00:00:00Z">
        <w:r>
          <w:rPr>
            <w:rFonts w:ascii="Times New Roman" w:hAnsi="Times New Roman"/>
            <w:highlight w:val="yellow"/>
            <w:lang w:eastAsia="zh-CN"/>
          </w:rPr>
          <w:delText>在875条受控记录上</w:delText>
        </w:r>
        <w:r>
          <w:rPr>
            <w:rFonts w:ascii="Times New Roman" w:hAnsi="Times New Roman"/>
            <w:lang w:eastAsia="zh-CN"/>
          </w:rPr>
          <w:delText xml:space="preserve">，以分组</w:delText>
        </w:r>
      </w:del>
      <w:ins w:id="900063" w:author="Claude" w:date="2026-10-28T00:00:00Z">
        <w:r>
          <w:rPr>
            <w:rFonts w:ascii="Times New Roman" w:hAnsi="Times New Roman"/>
            <w:lang w:eastAsia="zh-CN"/>
          </w:rPr>
          <w:t>所用数据为5.3.2.2节设定的875条受控记录。由于每条记录的参考等级在评价前已经确定，可以逐条核对各方法的结论是否正确，并统计各类误判的数量；实测断面通常缺少独立的鉴定结论，无法进行这样的逐条核对，这也是本案例采用受控记录的原因。以分组</w:t>
        </w:r>
      </w:ins>
      <w:r>
        <w:rPr>
          <w:rFonts w:ascii="Times New Roman" w:hAnsi="Times New Roman"/>
          <w:lang w:eastAsia="zh-CN"/>
        </w:rPr>
        <w:t xml:space="preserve">五折交叉验证的样本外预测比较9种评价方法，结果见表5-20和图5-18。方法间差异的显著性采用McNemar检验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del w:id="900064" w:author="Claude" w:date="2026-10-28T00:00:00Z">
        <w:r>
          <w:rPr>
            <w:rFonts w:ascii="Times New Roman" w:hAnsi="Times New Roman"/>
            <w:lang w:eastAsia="zh-CN"/>
          </w:rPr>
          <w:delText xml:space="preserve">从四类典型情景中各取第1条记录（同类25条记录的结果相同），逐步列出评价结果（表5-21、图5-20）。</w:delText>
        </w:r>
      </w:del>
      <w:ins w:id="900065" w:author="Claude" w:date="2026-10-28T00:00:00Z">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ins>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del w:id="900066" w:author="Claude" w:date="2026-10-28T00:00:00Z">
        <w:r>
          <w:rPr>
            <w:rFonts w:ascii="Times New Roman" w:hAnsi="Times New Roman"/>
            <w:sz w:val="21"/>
            <w:szCs w:val="21"/>
            <w:lang w:eastAsia="zh-CN"/>
          </w:rPr>
          <w:delText xml:space="preserve">典型情景的逐步评价结果</w:delText>
        </w:r>
      </w:del>
      <w:ins w:id="900067" w:author="Claude" w:date="2026-10-28T00:00:00Z">
        <w:r>
          <w:rPr>
            <w:rFonts w:ascii="Times New Roman" w:hAnsi="Times New Roman"/>
            <w:sz w:val="21"/>
            <w:szCs w:val="21"/>
            <w:lang w:eastAsia="zh-CN"/>
          </w:rPr>
          <w:t>典型情景的主要输入与逐步评价结果</w:t>
        </w:r>
      </w:ins>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del w:id="900068" w:author="Claude" w:date="2026-10-28T00:00:00Z">
        <w:r>
          <w:rPr>
            <w:rFonts w:ascii="Times New Roman" w:hAnsi="Times New Roman" w:cs="Times New Roman"/>
            <w:sz w:val="21"/>
            <w:szCs w:val="21"/>
            <w:lang w:eastAsia="zh-CN"/>
          </w:rPr>
          <w:delText xml:space="preserve">Step-by-step evaluation results of a typical scenario</w:delText>
        </w:r>
      </w:del>
      <w:ins w:id="900069" w:author="Claude" w:date="2026-10-28T00:00:00Z">
        <w:r>
          <w:rPr>
            <w:rFonts w:ascii="Times New Roman" w:hAnsi="Times New Roman" w:cs="Times New Roman"/>
            <w:sz w:val="21"/>
            <w:szCs w:val="21"/>
            <w:lang w:eastAsia="zh-CN"/>
          </w:rPr>
          <w:t>Main inputs and step-by-step evaluation results of typical scenarios</w:t>
        </w:r>
      </w:ins>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ins w:id="900070" w:author="Claude" w:date="2026-10-28T00:00:00Z"/>
          <w:lang w:eastAsia="zh-CN"/>
        </w:rPr>
      </w:pPr>
      <w:ins w:id="900071" w:author="Claude" w:date="2026-10-28T00:00:00Z">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ins>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del w:id="900074" w:author="Claude" w:date="2026-10-28T00:00:00Z">
        <w:r>
          <w:rPr>
            <w:rFonts w:ascii="Times New Roman" w:hAnsi="Times New Roman"/>
            <w:lang w:eastAsia="zh-CN"/>
          </w:rPr>
          <w:delText xml:space="preserve">为检验结论是否依赖某一批数据，在另外5批独立生成的情景上重复上述评价（图5-21）。</w:delText>
        </w:r>
      </w:del>
      <w:ins w:id="900075" w:author="Claude" w:date="2026-10-28T00:00:00Z">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ins>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断面Ⅰ，29.00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0.4218</w:t>
            </w:r>
          </w:p>
        </w:tc>
        <w:tc>
          <w:tcPr>
            <w:tcW w:w="800" w:type="dxa"/>
            <w:vAlign w:val="center"/>
          </w:tcPr>
          <w:p w14:paraId="4D761716">
            <w:pPr>
              <w:spacing w:before="20" w:after="20" w:line="240" w:lineRule="auto"/>
              <w:ind w:left="0" w:right="0" w:firstLine="0"/>
              <w:jc w:val="center"/>
            </w:pPr>
            <w:r>
              <w:rPr>
                <w:rFonts w:ascii="Times New Roman" w:hAnsi="Times New Roman"/>
                <w:sz w:val="21"/>
              </w:rPr>
              <w:t>Ⅰ级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0.409～0.511</w:t>
            </w:r>
          </w:p>
        </w:tc>
        <w:tc>
          <w:tcPr>
            <w:tcW w:w="1200" w:type="dxa"/>
            <w:vAlign w:val="center"/>
          </w:tcPr>
          <w:p w14:paraId="5796E474">
            <w:pPr>
              <w:spacing w:before="20" w:after="20" w:line="240" w:lineRule="auto"/>
              <w:ind w:left="0" w:right="0" w:firstLine="0"/>
              <w:jc w:val="center"/>
            </w:pPr>
            <w:r>
              <w:rPr>
                <w:rFonts w:ascii="Times New Roman" w:hAnsi="Times New Roman"/>
                <w:sz w:val="21"/>
              </w:rPr>
              <w:t>73.9～83.3</w:t>
            </w:r>
          </w:p>
        </w:tc>
        <w:tc>
          <w:tcPr>
            <w:tcW w:w="1300" w:type="dxa"/>
            <w:vAlign w:val="center"/>
          </w:tcPr>
          <w:p w14:paraId="243A72DA">
            <w:pPr>
              <w:spacing w:before="20" w:after="20" w:line="240" w:lineRule="auto"/>
              <w:ind w:left="0" w:right="0" w:firstLine="0"/>
              <w:jc w:val="center"/>
            </w:pPr>
            <w:r>
              <w:rPr>
                <w:rFonts w:ascii="Times New Roman" w:hAnsi="Times New Roman"/>
                <w:sz w:val="21"/>
              </w:rPr>
              <w:t>未触发</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证据不足，取决于其余指标</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断面Ⅰ，32.16 m</w:t>
            </w:r>
          </w:p>
        </w:tc>
        <w:tc>
          <w:tcPr>
            <w:tcW w:w="1000" w:type="dxa"/>
            <w:vAlign w:val="center"/>
          </w:tcPr>
          <w:p w14:paraId="0BC241C0">
            <w:pPr>
              <w:spacing w:before="20" w:after="20" w:line="240" w:lineRule="auto"/>
              <w:ind w:left="0" w:right="0" w:firstLine="0"/>
              <w:jc w:val="center"/>
            </w:pPr>
            <w:r>
              <w:rPr>
                <w:rFonts w:ascii="Times New Roman" w:hAnsi="Times New Roman"/>
                <w:sz w:val="21"/>
              </w:rPr>
              <w:t>1.6436</w:t>
            </w:r>
          </w:p>
        </w:tc>
        <w:tc>
          <w:tcPr>
            <w:tcW w:w="800" w:type="dxa"/>
            <w:vAlign w:val="center"/>
          </w:tcPr>
          <w:p w14:paraId="1E9AF743">
            <w:pPr>
              <w:spacing w:before="20" w:after="20" w:line="240" w:lineRule="auto"/>
              <w:ind w:left="0" w:right="0" w:firstLine="0"/>
              <w:jc w:val="center"/>
            </w:pPr>
            <w:r>
              <w:rPr>
                <w:rFonts w:ascii="Times New Roman" w:hAnsi="Times New Roman"/>
                <w:sz w:val="21"/>
              </w:rPr>
              <w:t>Ⅲ级</w:t>
            </w:r>
          </w:p>
        </w:tc>
        <w:tc>
          <w:tcPr>
            <w:tcW w:w="1400" w:type="dxa"/>
            <w:vAlign w:val="center"/>
          </w:tcPr>
          <w:p w14:paraId="638C29DB">
            <w:pPr>
              <w:spacing w:before="20" w:after="20" w:line="240" w:lineRule="auto"/>
              <w:ind w:left="0" w:right="0" w:firstLine="0"/>
              <w:jc w:val="center"/>
            </w:pPr>
            <w:r>
              <w:rPr>
                <w:rFonts w:ascii="Times New Roman" w:hAnsi="Times New Roman"/>
                <w:sz w:val="21"/>
              </w:rPr>
              <w:t>1.594～1.992</w:t>
            </w:r>
          </w:p>
        </w:tc>
        <w:tc>
          <w:tcPr>
            <w:tcW w:w="1200" w:type="dxa"/>
            <w:vAlign w:val="center"/>
          </w:tcPr>
          <w:p w14:paraId="4BCF1D49">
            <w:pPr>
              <w:spacing w:before="20" w:after="20" w:line="240" w:lineRule="auto"/>
              <w:ind w:left="0" w:right="0" w:firstLine="0"/>
              <w:jc w:val="center"/>
            </w:pPr>
            <w:r>
              <w:rPr>
                <w:rFonts w:ascii="Times New Roman" w:hAnsi="Times New Roman"/>
                <w:sz w:val="21"/>
              </w:rPr>
              <w:t>0</w:t>
            </w:r>
          </w:p>
        </w:tc>
        <w:tc>
          <w:tcPr>
            <w:tcW w:w="1300" w:type="dxa"/>
            <w:vAlign w:val="center"/>
          </w:tcPr>
          <w:p w14:paraId="5314875F">
            <w:pPr>
              <w:spacing w:before="20" w:after="20" w:line="240" w:lineRule="auto"/>
              <w:ind w:left="0" w:right="0" w:firstLine="0"/>
              <w:jc w:val="center"/>
            </w:pPr>
            <w:r>
              <w:rPr>
                <w:rFonts w:ascii="Times New Roman" w:hAnsi="Times New Roman"/>
                <w:sz w:val="21"/>
              </w:rPr>
              <w:t>C级</w:t>
            </w:r>
          </w:p>
        </w:tc>
        <w:tc>
          <w:tcPr>
            <w:tcW w:w="1806" w:type="dxa"/>
            <w:vAlign w:val="center"/>
          </w:tcPr>
          <w:p w14:paraId="1ABE423C">
            <w:pPr>
              <w:spacing w:before="20" w:after="20" w:line="240" w:lineRule="auto"/>
              <w:ind w:left="0" w:right="0" w:firstLine="0"/>
            </w:pPr>
            <w:r>
              <w:rPr>
                <w:rFonts w:ascii="Times New Roman" w:hAnsi="Times New Roman"/>
                <w:sz w:val="21"/>
              </w:rPr>
              <w:t>C级</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断面Ⅱ，32.16 m</w:t>
            </w:r>
          </w:p>
        </w:tc>
        <w:tc>
          <w:tcPr>
            <w:tcW w:w="1000" w:type="dxa"/>
            <w:vAlign w:val="center"/>
          </w:tcPr>
          <w:p w14:paraId="5BEF0A07">
            <w:pPr>
              <w:spacing w:before="20" w:after="20" w:line="240" w:lineRule="auto"/>
              <w:ind w:left="0" w:right="0" w:firstLine="0"/>
              <w:jc w:val="center"/>
            </w:pPr>
            <w:r>
              <w:rPr>
                <w:rFonts w:ascii="Times New Roman" w:hAnsi="Times New Roman"/>
                <w:sz w:val="21"/>
              </w:rPr>
              <w:t>0.8449</w:t>
            </w:r>
          </w:p>
        </w:tc>
        <w:tc>
          <w:tcPr>
            <w:tcW w:w="800" w:type="dxa"/>
            <w:vAlign w:val="center"/>
          </w:tcPr>
          <w:p w14:paraId="43B3DEF7">
            <w:pPr>
              <w:spacing w:before="20" w:after="20" w:line="240" w:lineRule="auto"/>
              <w:ind w:left="0" w:right="0" w:firstLine="0"/>
              <w:jc w:val="center"/>
            </w:pPr>
            <w:r>
              <w:rPr>
                <w:rFonts w:ascii="Times New Roman" w:hAnsi="Times New Roman"/>
                <w:sz w:val="21"/>
              </w:rPr>
              <w:t>Ⅱ级</w:t>
            </w:r>
          </w:p>
        </w:tc>
        <w:tc>
          <w:tcPr>
            <w:tcW w:w="1400" w:type="dxa"/>
            <w:vAlign w:val="center"/>
          </w:tcPr>
          <w:p w14:paraId="439CBECD">
            <w:pPr>
              <w:spacing w:before="20" w:after="20" w:line="240" w:lineRule="auto"/>
              <w:ind w:left="0" w:right="0" w:firstLine="0"/>
              <w:jc w:val="center"/>
            </w:pPr>
            <w:r>
              <w:rPr>
                <w:rFonts w:ascii="Times New Roman" w:hAnsi="Times New Roman"/>
                <w:sz w:val="21"/>
              </w:rPr>
              <w:t>0.819～1.024</w:t>
            </w:r>
          </w:p>
        </w:tc>
        <w:tc>
          <w:tcPr>
            <w:tcW w:w="1200" w:type="dxa"/>
            <w:vAlign w:val="center"/>
          </w:tcPr>
          <w:p w14:paraId="75894C0F">
            <w:pPr>
              <w:spacing w:before="20" w:after="20" w:line="240" w:lineRule="auto"/>
              <w:ind w:left="0" w:right="0" w:firstLine="0"/>
              <w:jc w:val="center"/>
            </w:pPr>
            <w:r>
              <w:rPr>
                <w:rFonts w:ascii="Times New Roman" w:hAnsi="Times New Roman"/>
                <w:sz w:val="21"/>
              </w:rPr>
              <w:t>0～32.9</w:t>
            </w:r>
          </w:p>
        </w:tc>
        <w:tc>
          <w:tcPr>
            <w:tcW w:w="1300" w:type="dxa"/>
            <w:vAlign w:val="center"/>
          </w:tcPr>
          <w:p w14:paraId="034FBC73">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05378426">
            <w:pPr>
              <w:spacing w:before="20" w:after="20" w:line="240" w:lineRule="auto"/>
              <w:ind w:left="0" w:right="0" w:firstLine="0"/>
            </w:pPr>
            <w:r>
              <w:rPr>
                <w:rFonts w:ascii="Times New Roman" w:hAnsi="Times New Roman"/>
                <w:sz w:val="21"/>
              </w:rPr>
              <w:t>B～C级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三维计算域，32.16 m</w:t>
            </w:r>
          </w:p>
        </w:tc>
        <w:tc>
          <w:tcPr>
            <w:tcW w:w="1000" w:type="dxa"/>
            <w:vAlign w:val="center"/>
          </w:tcPr>
          <w:p w14:paraId="090876CF">
            <w:pPr>
              <w:spacing w:before="20" w:after="20" w:line="240" w:lineRule="auto"/>
              <w:ind w:left="0" w:right="0" w:firstLine="0"/>
              <w:jc w:val="center"/>
            </w:pPr>
            <w:r>
              <w:rPr>
                <w:rFonts w:ascii="Times New Roman" w:hAnsi="Times New Roman"/>
                <w:sz w:val="21"/>
              </w:rPr>
              <w:t>2.3412</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2.270～2.838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注：32.16 m为设计洪水位；三维计算域的8条代表性通道中Ⅰ、Ⅱ、Ⅲ级分别为4、1、3条。</w:t>
      </w:r>
    </w:p>
    <w:p w14:paraId="77F19DD4">
      <w:pPr>
        <w:keepNext/>
        <w:spacing w:before="120" w:after="0" w:line="240" w:lineRule="auto"/>
        <w:jc w:val="center"/>
      </w:pPr>
      <w:r>
        <w:rPr>
          <w:lang w:eastAsia="zh-CN"/>
        </w:rPr>
        <w:drawing>
          <wp:inline distT="0" distB="0" distL="0" distR="0">
            <wp:extent cx="4572000" cy="1266190"/>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266354"/>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del w:id="900072" w:author="Claude" w:date="2026-10-28T00:00:00Z">
        <w:r>
          <w:rPr>
            <w:rFonts w:ascii="Times New Roman" w:hAnsi="Times New Roman"/>
            <w:lang w:eastAsia="zh-CN"/>
          </w:rPr>
          <w:delText xml:space="preserve">（0+001）</w:delText>
        </w:r>
      </w:del>
      <w:ins w:id="900073" w:author="Claude" w:date="2026-10-28T00:00:00Z">
        <w:r>
          <w:rPr>
            <w:rFonts w:ascii="Times New Roman" w:hAnsi="Times New Roman"/>
            <w:lang w:eastAsia="zh-CN"/>
          </w:rPr>
          <w:t>（样本1）</w:t>
        </w:r>
      </w:ins>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del w:id="900076" w:author="Claude" w:date="2026-10-28T00:00:00Z">
        <w:r>
          <w:rPr>
            <w:rFonts w:ascii="Times New Roman" w:hAnsi="Times New Roman"/>
            <w:lang w:eastAsia="zh-CN"/>
          </w:rPr>
          <w:delText>本章围绕第1章提出的第二个关键科学问题，构建了堤防渗流安全评价框架和指标体系，提出了无人机巡检识别与接入方法和物理规则链与随机森林相结合的评价模型，并通过六个案例进行了检验，主要结论如下：</w:delText>
        </w:r>
        <w:r>
          <w:rPr>
            <w:rFonts w:hint="eastAsia"/>
            <w:highlight w:val="yellow"/>
            <w:lang w:eastAsia="zh-CN"/>
          </w:rPr>
          <w:delText>（</w:delText>
        </w:r>
        <w:r>
          <w:rPr>
            <w:rFonts w:hint="eastAsia"/>
            <w:highlight w:val="yellow"/>
            <w:lang w:val="en-US" w:eastAsia="zh-CN"/>
          </w:rPr>
          <w:delText>模型、方法、技术、应用等方面，提出了、构建了、分析了、建立了、实现了</w:delText>
        </w:r>
        <w:r>
          <w:rPr>
            <w:rFonts w:hint="eastAsia"/>
            <w:highlight w:val="yellow"/>
            <w:lang w:eastAsia="zh-CN"/>
          </w:rPr>
          <w:delText>）</w:delText>
        </w:r>
      </w:del>
      <w:ins w:id="900077" w:author="Claude" w:date="2026-10-28T00:00:00Z">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ins>
    </w:p>
    <w:p w14:paraId="27643FE7">
      <w:pPr>
        <w:spacing w:after="0" w:line="360" w:lineRule="auto"/>
        <w:rPr>
          <w:lang w:eastAsia="zh-CN"/>
        </w:rPr>
      </w:pPr>
      <w:del w:id="900078" w:author="Claude" w:date="2026-10-28T00:00:00Z">
        <w:r>
          <w:rPr>
            <w:rFonts w:ascii="Times New Roman" w:hAnsi="Times New Roman"/>
            <w:lang w:eastAsia="zh-CN"/>
          </w:rPr>
          <w:delText>（1）以指定水位与时刻下堤段的渗流安全状态为评价对象，以安全等级、主控失效模式和待补资料为评价目标，建立了数据来源、证据、指标、模型、标准和输出六层评价框架和八步实施流程。指标体系包含5个准则层、29项指标，渗流安全指标覆盖堤基、堤身、接触冲刷和穿堤建筑物四类破坏部位，并以渗流计算可直接给出的坡降比替代了依赖监测设施的渗压与渗漏量指标。</w:delText>
        </w:r>
      </w:del>
      <w:ins w:id="900079" w:author="Claude" w:date="2026-10-28T00:00:00Z">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ins>
    </w:p>
    <w:p w14:paraId="6FAA78D5">
      <w:pPr>
        <w:spacing w:after="0" w:line="360" w:lineRule="auto"/>
        <w:rPr>
          <w:lang w:eastAsia="zh-CN"/>
        </w:rPr>
      </w:pPr>
      <w:del w:id="900080" w:author="Claude" w:date="2026-10-28T00:00:00Z">
        <w:r>
          <w:rPr>
            <w:rFonts w:ascii="Times New Roman" w:hAnsi="Times New Roman"/>
            <w:lang w:eastAsia="zh-CN"/>
          </w:rPr>
          <w:delText>（2）给出了无人机红外巡检方案、图像预处理方法和P2ES-YOLO管涌识别模型。识别模型的训练数据由公开模型试验数据集与模拟环境自建数据按约6∶4构成，有效标注图像1422张；在测试集上的查准率、查全率和mAP@0.5分别为95.1%、93.4%和97.2%，较YOLOv8n分别提高1.1、4.0和1.5个百分点。</w:delText>
        </w:r>
      </w:del>
      <w:ins w:id="900081" w:author="Claude" w:date="2026-10-28T00:00:00Z">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ins>
    </w:p>
    <w:p w14:paraId="1CA2FD3F">
      <w:pPr>
        <w:spacing w:after="0" w:line="360" w:lineRule="auto"/>
        <w:rPr>
          <w:lang w:eastAsia="zh-CN"/>
        </w:rPr>
      </w:pPr>
      <w:del w:id="900082" w:author="Claude" w:date="2026-10-28T00:00:00Z">
        <w:r>
          <w:rPr>
            <w:rFonts w:ascii="Times New Roman" w:hAnsi="Times New Roman"/>
            <w:lang w:eastAsia="zh-CN"/>
          </w:rPr>
          <w:delText>（3）现场113张红外图像分属3个巡检片区，片区A以约50 m和约100 m两档航高为主；9个现场候选经复核全部为误报（真实管涌比例上界为0.28），误报主要来自白天日照形成的水体、植被和建筑背景温差，框内外温差为−7.0～+8.2 ℃，小于图像内14.8～33.2 ℃的背景温差，置信度不能区分误报与真实渗漏。</w:delText>
        </w:r>
      </w:del>
      <w:ins w:id="900083" w:author="Claude" w:date="2026-10-28T00:00:00Z">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ins>
    </w:p>
    <w:p w14:paraId="04E72F30">
      <w:pPr>
        <w:spacing w:after="0" w:line="360" w:lineRule="auto"/>
        <w:rPr>
          <w:lang w:eastAsia="zh-CN"/>
        </w:rPr>
      </w:pPr>
      <w:del w:id="900084" w:author="Claude" w:date="2026-10-28T00:00:00Z">
        <w:r>
          <w:rPr>
            <w:rFonts w:ascii="Times New Roman" w:hAnsi="Times New Roman"/>
            <w:lang w:eastAsia="zh-CN"/>
          </w:rPr>
          <w:delText>（4）建立了证据状态控制以及巡检结果的指标输入、等级约束和复核触发规则。原规则下2个未复核的误报即可将安全断面降为B级，本章规则可以避免这种误降级。</w:delText>
        </w:r>
      </w:del>
      <w:ins w:id="900085" w:author="Claude" w:date="2026-10-28T00:00:00Z">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ins>
    </w:p>
    <w:p w14:paraId="4BCE0A41">
      <w:pPr>
        <w:spacing w:after="0" w:line="360" w:lineRule="auto"/>
        <w:rPr>
          <w:lang w:eastAsia="zh-CN"/>
        </w:rPr>
      </w:pPr>
      <w:del w:id="900086" w:author="Claude" w:date="2026-10-28T00:00:00Z">
        <w:r>
          <w:rPr>
            <w:rFonts w:ascii="Times New Roman" w:hAnsi="Times New Roman"/>
            <w:lang w:eastAsia="zh-CN"/>
          </w:rPr>
          <w:delText>（5）规则链的等级在短板系数0.30～0.90范围内保持稳定，坡降比、抗滑安全系数和堤顶高程是影响得分最大的指标。随机森林参数验证表明，最大深度对精度的影响最大，但各参数取值下C判A均不少于50条，安全缺口源于特征缺失；采用序数物理下限组合后，875条受控记录上的准确率为0.926、C级召回率为1.000且无新增错误，另外5批上的准确率为 0.921±0.004。</w:delText>
        </w:r>
      </w:del>
      <w:ins w:id="900087" w:author="Claude" w:date="2026-10-28T00:00:00Z">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ins>
    </w:p>
    <w:p w14:paraId="22224CB5">
      <w:pPr>
        <w:spacing w:after="0" w:line="360" w:lineRule="auto"/>
        <w:rPr>
          <w:lang w:eastAsia="zh-CN"/>
        </w:rPr>
      </w:pPr>
      <w:del w:id="900088" w:author="Claude" w:date="2026-10-28T00:00:00Z">
        <w:r>
          <w:rPr>
            <w:rFonts w:ascii="Times New Roman" w:hAnsi="Times New Roman"/>
            <w:lang w:eastAsia="zh-CN"/>
          </w:rPr>
          <w:delText>（6）在4051个候选策略的多目标评价中，加入序数下限后各模型族的超体积由0.42～0.59提高到0.73～0.88，物理下限约束下选出的策略检验准确率为 0.939±0.001。K45+500断面的结论对C1取值部位敏感，第4章计算结果接入后设计水位下断面Ⅰ确定为C级、断面Ⅱ为B～C级，评价模型能够将此类依赖与不确定性明确列出。</w:delText>
        </w:r>
      </w:del>
      <w:ins w:id="900089" w:author="Claude" w:date="2026-10-28T00:00:00Z">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ins>
    </w:p>
    <w:p w14:paraId="32E9C185">
      <w:pPr>
        <w:spacing w:after="0" w:line="360" w:lineRule="auto"/>
        <w:rPr>
          <w:lang w:eastAsia="zh-CN"/>
        </w:rPr>
      </w:pPr>
      <w:del w:id="900090" w:author="Claude" w:date="2026-10-28T00:00:00Z">
        <w:r>
          <w:rPr>
            <w:rFonts w:ascii="Times New Roman" w:hAnsi="Times New Roman"/>
            <w:lang w:eastAsia="zh-CN"/>
          </w:rPr>
          <w:delText>上述定量结论主要来自受控情景，序数下限的保护以规则链门控正确为前提；识别模型的现场适用性仍需夜间采集的现场数据和带有确认管涌的独立样本检验，评价模型的现场适用性也需利用带有独立标签、时间记录和空间配准的现场数据进一步检验。</w:delText>
        </w:r>
      </w:del>
      <w:ins w:id="900091" w:author="Claude" w:date="2026-10-28T00:00:00Z">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ins>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del w:id="900039" w:author="Claude" w:date="2026-10-28T00:00:00Z">
        <w:r>
          <w:rPr>
            <w:rFonts w:ascii="Times New Roman" w:hAnsi="Times New Roman"/>
            <w:lang w:eastAsia="zh-CN"/>
          </w:rPr>
          <w:delText xml:space="preserve">平台上呈现的等级与第五章表5-16的三级划分对应，并在界面上以一级安全、二级警戒与三级危险命名，分别以绿色、黄色与红色标识，与主页预警事件面板、堤段统计徽标使用同一套色标。</w:delText>
        </w:r>
      </w:del>
      <w:ins w:id="900040" w:author="Claude" w:date="2026-10-28T00:00:00Z">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ins>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del w:id="900041" w:author="Claude" w:date="2026-10-28T00:00:00Z">
        <w:r>
          <w:rPr>
            <w:rFonts w:ascii="Times New Roman" w:hAnsi="Times New Roman"/>
            <w:lang w:eastAsia="zh-CN"/>
          </w:rPr>
          <w:delText xml:space="preserve">一级安全仅</w:delText>
        </w:r>
      </w:del>
      <w:ins w:id="900042" w:author="Claude" w:date="2026-10-28T00:00:00Z">
        <w:r>
          <w:rPr>
            <w:rFonts w:ascii="Times New Roman" w:hAnsi="Times New Roman"/>
            <w:lang w:eastAsia="zh-CN"/>
          </w:rPr>
          <w:t>A级仅</w:t>
        </w:r>
      </w:ins>
      <w:r>
        <w:rPr>
          <w:rFonts w:ascii="Times New Roman" w:hAnsi="Times New Roman"/>
          <w:lang w:eastAsia="zh-CN"/>
        </w:rPr>
        <w:t xml:space="preserve">更新评价记录；</w:t>
      </w:r>
      <w:del w:id="900043" w:author="Claude" w:date="2026-10-28T00:00:00Z">
        <w:r>
          <w:rPr>
            <w:rFonts w:ascii="Times New Roman" w:hAnsi="Times New Roman"/>
            <w:lang w:eastAsia="zh-CN"/>
          </w:rPr>
          <w:delText xml:space="preserve">二级警戒向</w:delText>
        </w:r>
      </w:del>
      <w:ins w:id="900044" w:author="Claude" w:date="2026-10-28T00:00:00Z">
        <w:r>
          <w:rPr>
            <w:rFonts w:ascii="Times New Roman" w:hAnsi="Times New Roman"/>
            <w:lang w:eastAsia="zh-CN"/>
          </w:rPr>
          <w:t>B级向</w:t>
        </w:r>
      </w:ins>
      <w:r>
        <w:rPr>
          <w:rFonts w:ascii="Times New Roman" w:hAnsi="Times New Roman"/>
          <w:lang w:eastAsia="zh-CN"/>
        </w:rPr>
        <w:t xml:space="preserve">责任人推送提示并建议加密该堤段观测；</w:t>
      </w:r>
      <w:del w:id="900045" w:author="Claude" w:date="2026-10-28T00:00:00Z">
        <w:r>
          <w:rPr>
            <w:rFonts w:ascii="Times New Roman" w:hAnsi="Times New Roman"/>
            <w:lang w:eastAsia="zh-CN"/>
          </w:rPr>
          <w:delText xml:space="preserve">三级危险提升</w:delText>
        </w:r>
      </w:del>
      <w:ins w:id="900046" w:author="Claude" w:date="2026-10-28T00:00:00Z">
        <w:r>
          <w:rPr>
            <w:rFonts w:ascii="Times New Roman" w:hAnsi="Times New Roman"/>
            <w:lang w:eastAsia="zh-CN"/>
          </w:rPr>
          <w:t>C级提升</w:t>
        </w:r>
      </w:ins>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del w:id="900047" w:author="Claude" w:date="2026-10-28T00:00:00Z">
        <w:r>
          <w:rPr>
            <w:rFonts w:ascii="Times New Roman" w:hAnsi="Times New Roman" w:cs="Times New Roman"/>
            <w:lang w:eastAsia="zh-CN"/>
          </w:rPr>
          <w:delText xml:space="preserve">当前危险、警戒与安全堤段的数量</w:delText>
        </w:r>
      </w:del>
      <w:ins w:id="900048" w:author="Claude" w:date="2026-10-28T00:00:00Z">
        <w:r>
          <w:rPr>
            <w:rFonts w:ascii="Times New Roman" w:hAnsi="Times New Roman" w:cs="Times New Roman"/>
            <w:lang w:eastAsia="zh-CN"/>
          </w:rPr>
          <w:t>当前C级、B级与A级堤段的数量</w:t>
        </w:r>
      </w:ins>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del w:id="900049" w:author="Claude" w:date="2026-10-28T00:00:00Z">
        <w:r>
          <w:rPr>
            <w:rFonts w:ascii="Times New Roman" w:hAnsi="Times New Roman" w:cs="Times New Roman"/>
            <w:lang w:eastAsia="zh-CN"/>
          </w:rPr>
          <w:delText xml:space="preserve">预警等级以颜色区分，其中一级安全以绿色标识、二级警戒以黄色标识、三级危险以红色标识。</w:delText>
        </w:r>
      </w:del>
      <w:ins w:id="900050" w:author="Claude" w:date="2026-10-28T00:00:00Z">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ins>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del w:id="900092" w:author="Claude" w:date="2026-10-28T00:00:00Z">
        <w:r>
          <w:rPr>
            <w:rFonts w:ascii="Times New Roman" w:hAnsi="Times New Roman" w:cs="Times New Roman"/>
            <w:lang w:eastAsia="zh-CN"/>
          </w:rPr>
          <w:delText>（3）在透明评价方面，本文构建了融合渗流机理与空基巡检病害信息的堤防渗流安全透明评价方法。梳理了包含机理计算指标、巡检病害指标与监测数据在内的评价指标体系，建立了考虑干湿循环影响的材料参数劣化关系，提出了以危险水位为输出的动态安全评价模型。</w:delText>
        </w:r>
      </w:del>
      <w:ins w:id="900093" w:author="Claude" w:date="2026-10-28T00:00:00Z">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ins>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del w:id="900094" w:author="Claude" w:date="2026-10-28T00:00:00Z">
        <w:r>
          <w:rPr>
            <w:rFonts w:ascii="Times New Roman" w:hAnsi="Times New Roman" w:cs="Times New Roman"/>
            <w:lang w:eastAsia="zh-CN"/>
          </w:rPr>
          <w:delText>（2）构建了融合渗流机理与空基巡检病害信息的堤防渗流安全动态评价方法。传统堤防渗流安全评价或仅依赖渗流机理计算指标，其反映的是理论风险水平；或仅依赖现场巡检结果，难以刻画尚未显现的隐患。本文将两类信息在指标层面融合，提出了以危险水位为输出的动态评价模型，实现了理论风险与实景缺陷的相互印证。</w:delText>
        </w:r>
      </w:del>
      <w:ins w:id="900095" w:author="Claude" w:date="2026-10-28T00:00:00Z">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ins>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del w:id="900096" w:author="Claude" w:date="2026-10-28T00:00:00Z">
        <w:r>
          <w:rPr>
            <w:rFonts w:ascii="Times New Roman" w:hAnsi="Times New Roman" w:cs="Times New Roman"/>
            <w:lang w:eastAsia="zh-CN"/>
          </w:rPr>
          <w:delText>（3）在安全评价方面，所构建的评价模型以静态权重的多指标融合为主，对指标之间相关性与时序演化的考虑尚不充分，评价阈值主要依据规范取值与工程经验确定，其在不同流域、不同堤型条件下的适用性需要通过更多工程样本加以检验。</w:delText>
        </w:r>
      </w:del>
      <w:ins w:id="900097" w:author="Claude" w:date="2026-10-28T00:00:00Z">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ins>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