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keepNext/>
        <w:spacing w:before="240" w:after="240" w:line="240" w:lineRule="auto"/>
        <w:jc w:val="center"/>
      </w:pPr>
      <w:r>
        <w:rPr>
          <w:rFonts w:ascii="Times New Roman" w:eastAsia="SimHei" w:hAnsi="Times New Roman"/>
          <w:b/>
          <w:sz w:val="28"/>
        </w:rPr>
        <w:t xml:space="preserve">第5章  融合渗流机理与空基巡检病害信息的堤防渗流安全透明评价</w:t>
      </w:r>
    </w:p>
    <w:p>
      <w:pPr>
        <w:keepNext/>
        <w:spacing w:before="240" w:after="120" w:line="360" w:lineRule="auto"/>
      </w:pPr>
      <w:r>
        <w:rPr>
          <w:rFonts w:ascii="Times New Roman" w:eastAsia="SimHei" w:hAnsi="Times New Roman"/>
          <w:b/>
          <w:sz w:val="24"/>
        </w:rPr>
        <w:t xml:space="preserve">5.1  引言</w:t>
      </w:r>
    </w:p>
    <w:p>
      <w:pPr>
        <w:spacing w:after="0" w:line="360" w:lineRule="auto"/>
        <w:ind w:firstLine="480"/>
        <w:jc w:val="both"/>
      </w:pPr>
      <w:r>
        <w:rPr>
          <w:rFonts w:ascii="Times New Roman" w:eastAsia="SimSun" w:hAnsi="Times New Roman"/>
          <w:sz w:val="24"/>
        </w:rPr>
        <w:t xml:space="preserve">第4章给出了多水位工况下的渗流场、渗透坡降与边坡稳定结果，第2章给出了红外渗漏探测、目标检测与多指标融合评价的基本理论。本章对应第1章提出的第二个关键科学问题：如何融合渗流计算结果与无人机巡检实景病害信息，建立堤防渗流安全动态透明评价方法。管涌与内部侵蚀是土石堤坝失事的主要机制之一</w:t>
      </w:r>
      <w:r>
        <w:rPr>
          <w:rFonts w:ascii="Times New Roman" w:eastAsia="SimSun" w:hAnsi="Times New Roman"/>
          <w:sz w:val="24"/>
          <w:vertAlign w:val="superscript"/>
        </w:rPr>
        <w:t xml:space="preserve">[192,193]</w:t>
      </w:r>
      <w:r>
        <w:rPr>
          <w:rFonts w:ascii="Times New Roman" w:eastAsia="SimSun" w:hAnsi="Times New Roman"/>
          <w:sz w:val="24"/>
        </w:rPr>
        <w:t xml:space="preserve">，而工程管理最终依据一个序数安全等级行动；若等级不保留来源，就无法判断它由物理临界、学习模型还是一条未经确认的巡检记录决定。</w:t>
      </w:r>
    </w:p>
    <w:p>
      <w:pPr>
        <w:spacing w:after="0" w:line="360" w:lineRule="auto"/>
        <w:ind w:firstLine="480"/>
        <w:jc w:val="both"/>
      </w:pPr>
      <w:r>
        <w:rPr>
          <w:rFonts w:ascii="Times New Roman" w:eastAsia="SimSun" w:hAnsi="Times New Roman"/>
          <w:sz w:val="24"/>
        </w:rPr>
        <w:t xml:space="preserve">本章把“透明”落实为一条可逐项审计的决策链：证据定位与状态判别—指标赋值—失效模式响应—规则等级与学习等级—序数物理下限—复核与发布，并在此基础上构建由物理规则链、随机森林决策层、序数物理下限和多目标策略评价组成的动态评价模型。本章方法定位为安全约束的评价决策层与证据状态控制方法；定量结果均来自同一受控合成生成器，不作为真实堤防泛化能力已获验证的结论。</w:t>
      </w:r>
    </w:p>
    <w:p>
      <w:pPr>
        <w:keepNext/>
        <w:spacing w:before="240" w:after="120" w:line="360" w:lineRule="auto"/>
      </w:pPr>
      <w:r>
        <w:rPr>
          <w:rFonts w:ascii="Times New Roman" w:eastAsia="SimHei" w:hAnsi="Times New Roman"/>
          <w:b/>
          <w:sz w:val="24"/>
        </w:rPr>
        <w:t xml:space="preserve">5.2  透明评价的多源信息构成体系</w:t>
      </w:r>
    </w:p>
    <w:p>
      <w:pPr>
        <w:spacing w:after="0" w:line="360" w:lineRule="auto"/>
        <w:ind w:firstLine="480"/>
        <w:jc w:val="both"/>
      </w:pPr>
      <w:r>
        <w:rPr>
          <w:rFonts w:ascii="Times New Roman" w:eastAsia="SimSun" w:hAnsi="Times New Roman"/>
          <w:sz w:val="24"/>
        </w:rPr>
        <w:t xml:space="preserve">评价输入来自地质、计算、巡检、历史台账和运行管理五类证据通道，其时间尺度、空间支持和可靠程度各不相同。图5.1给出本章的评价决策链。</w:t>
      </w:r>
    </w:p>
    <w:p>
      <w:pPr>
        <w:keepNext/>
        <w:spacing w:before="120" w:after="120" w:line="360" w:lineRule="auto"/>
      </w:pPr>
      <w:r>
        <w:rPr>
          <w:rFonts w:ascii="Times New Roman" w:eastAsia="SimHei" w:hAnsi="Times New Roman"/>
          <w:b/>
          <w:sz w:val="24"/>
        </w:rPr>
        <w:t xml:space="preserve">5.2.1  评价单元与证据记录</w:t>
      </w:r>
    </w:p>
    <w:p>
      <w:pPr>
        <w:spacing w:after="0" w:line="360" w:lineRule="auto"/>
        <w:ind w:firstLine="480"/>
        <w:jc w:val="both"/>
      </w:pPr>
      <w:r>
        <w:rPr>
          <w:rFonts w:ascii="Times New Roman" w:eastAsia="SimSun" w:hAnsi="Times New Roman"/>
          <w:sz w:val="24"/>
        </w:rPr>
        <w:t xml:space="preserve">评价单元由四元组 </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w:t>
      </w:r>
      <w:r>
        <w:rPr>
          <w:rFonts w:ascii="Times New Roman" w:eastAsia="SimSun" w:hAnsi="Times New Roman"/>
          <w:i/>
          <w:sz w:val="24"/>
        </w:rPr>
        <w:t xml:space="preserve">w</w:t>
      </w:r>
      <w:r>
        <w:rPr>
          <w:rFonts w:ascii="Times New Roman" w:eastAsia="SimSun" w:hAnsi="Times New Roman"/>
          <w:sz w:val="24"/>
        </w:rPr>
        <w:t xml:space="preserve">, </w:t>
      </w:r>
      <w:r>
        <w:rPr>
          <w:rFonts w:ascii="Times New Roman" w:eastAsia="SimSun" w:hAnsi="Times New Roman"/>
          <w:i/>
          <w:sz w:val="24"/>
        </w:rPr>
        <w:t xml:space="preserve">t</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确定，</w:t>
      </w:r>
      <w:r>
        <w:rPr>
          <w:rFonts w:ascii="Times New Roman" w:eastAsia="SimSun" w:hAnsi="Times New Roman"/>
          <w:i/>
          <w:sz w:val="24"/>
        </w:rPr>
        <w:t xml:space="preserve">s</w:t>
      </w:r>
      <w:r>
        <w:rPr>
          <w:rFonts w:ascii="Times New Roman" w:eastAsia="SimSun" w:hAnsi="Times New Roman"/>
          <w:sz w:val="24"/>
        </w:rPr>
        <w:t xml:space="preserve"> 为堤段或断面，</w:t>
      </w:r>
      <w:r>
        <w:rPr>
          <w:rFonts w:ascii="Times New Roman" w:eastAsia="SimSun" w:hAnsi="Times New Roman"/>
          <w:i/>
          <w:sz w:val="24"/>
        </w:rPr>
        <w:t xml:space="preserve">w</w:t>
      </w:r>
      <w:r>
        <w:rPr>
          <w:rFonts w:ascii="Times New Roman" w:eastAsia="SimSun" w:hAnsi="Times New Roman"/>
          <w:sz w:val="24"/>
        </w:rPr>
        <w:t xml:space="preserve"> 为水力工况，</w:t>
      </w:r>
      <w:r>
        <w:rPr>
          <w:rFonts w:ascii="Times New Roman" w:eastAsia="SimSun" w:hAnsi="Times New Roman"/>
          <w:i/>
          <w:sz w:val="24"/>
        </w:rPr>
        <w:t xml:space="preserve">t</w:t>
      </w:r>
      <w:r>
        <w:rPr>
          <w:rFonts w:ascii="Times New Roman" w:eastAsia="SimSun" w:hAnsi="Times New Roman"/>
          <w:sz w:val="24"/>
        </w:rPr>
        <w:t xml:space="preserve"> 为观测或计算时刻，</w:t>
      </w:r>
      <w:r>
        <w:rPr>
          <w:rFonts w:ascii="Times New Roman" w:eastAsia="SimSun" w:hAnsi="Times New Roman"/>
          <w:i/>
          <w:sz w:val="24"/>
        </w:rPr>
        <w:t xml:space="preserve">v</w:t>
      </w:r>
      <w:r>
        <w:rPr>
          <w:rFonts w:ascii="Times New Roman" w:eastAsia="SimSun" w:hAnsi="Times New Roman"/>
          <w:sz w:val="24"/>
        </w:rPr>
        <w:t xml:space="preserve"> 为证据与规则版本。只有四元组闭合时，一条巡检记录才能成为当前单元的C3输入，一组渗流结果才能成为当前工况的C1、C4、C5输入。每个指标记录原始值、单位、得分、来源定位、取值类型、适用性、可用性、时间窗口、空间范围和转换规则，各通道的当前资料状态见表5.1。</w:t>
      </w:r>
    </w:p>
    <w:p>
      <w:pPr>
        <w:keepNext/>
        <w:spacing w:before="120" w:after="60"/>
        <w:jc w:val="center"/>
      </w:pPr>
      <w:r>
        <w:rPr>
          <w:noProof/>
          <w:lang w:eastAsia="zh-CN"/>
        </w:rPr>
        <w:drawing>
          <wp:inline distT="0" distB="0" distL="0" distR="0">
            <wp:extent cx="5486400" cy="3027871"/>
            <wp:effectExtent l="0" t="0" r="0" b="0"/>
            <wp:docPr id="1" name="图片 1" descr="图5.1  融合渗流机理与巡检证据的透明评价决策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5_1_decision_chain.png"/>
                    <pic:cNvPicPr/>
                  </pic:nvPicPr>
                  <pic:blipFill>
                    <a:blip r:embed="rId100"/>
                    <a:stretch>
                      <a:fillRect/>
                    </a:stretch>
                  </pic:blipFill>
                  <pic:spPr>
                    <a:xfrm>
                      <a:off x="0" y="0"/>
                      <a:ext cx="5486400" cy="3027871"/>
                    </a:xfrm>
                    <a:prstGeom prst="rect">
                      <a:avLst/>
                    </a:prstGeom>
                  </pic:spPr>
                </pic:pic>
              </a:graphicData>
            </a:graphic>
          </wp:inline>
        </w:drawing>
      </w:r>
    </w:p>
    <w:p>
      <w:pPr>
        <w:spacing w:after="120"/>
        <w:jc w:val="center"/>
      </w:pPr>
      <w:r>
        <w:rPr>
          <w:rFonts w:ascii="Times New Roman" w:eastAsia="SimSun" w:hAnsi="Times New Roman"/>
          <w:sz w:val="21"/>
        </w:rPr>
        <w:t xml:space="preserve">图5.1  融合渗流机理与巡检证据的透明评价决策链</w:t>
      </w:r>
    </w:p>
    <w:p>
      <w:pPr>
        <w:keepNext/>
        <w:spacing w:before="120" w:after="60" w:line="240" w:lineRule="auto"/>
        <w:jc w:val="center"/>
      </w:pPr>
      <w:r>
        <w:rPr>
          <w:rFonts w:ascii="Times New Roman" w:eastAsia="SimSun" w:hAnsi="Times New Roman"/>
          <w:sz w:val="21"/>
        </w:rPr>
        <w:t xml:space="preserve">表5.1  多源证据通道与当前资料状态</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400"/>
        <w:gridCol w:w="2700"/>
        <w:gridCol w:w="5306"/>
      </w:tblGrid>
      <w:tr>
        <w:trPr>
          <w:tblHeader/>
          <w:cantSplit/>
          <w:jc w:val="center"/>
        </w:trPr>
        <w:tc>
          <w:tcPr>
            <w:tcW w:w="1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证据通道</w:t>
            </w:r>
          </w:p>
        </w:tc>
        <w:tc>
          <w:tcPr>
            <w:tcW w:w="2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进入的指标或环节</w:t>
            </w:r>
          </w:p>
        </w:tc>
        <w:tc>
          <w:tcPr>
            <w:tcW w:w="53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当前资料状态</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地质与材料（第3章）</w:t>
            </w:r>
          </w:p>
        </w:tc>
        <w:tc>
          <w:tcPr>
            <w:tcW w:w="2700" w:type="dxa"/>
            <w:vAlign w:val="center"/>
          </w:tcPr>
          <w:p>
            <w:pPr>
              <w:spacing w:before="20" w:after="20" w:line="240" w:lineRule="auto"/>
              <w:jc w:val="left"/>
            </w:pPr>
            <w:r>
              <w:rPr>
                <w:rFonts w:ascii="Times New Roman" w:eastAsia="SimSun" w:hAnsi="Times New Roman"/>
                <w:sz w:val="21"/>
              </w:rPr>
              <w:t xml:space="preserve">控制层 </w:t>
            </w:r>
            <w:r>
              <w:rPr>
                <w:rFonts w:ascii="Times New Roman" w:eastAsia="SimSun" w:hAnsi="Times New Roman"/>
                <w:i/>
                <w:sz w:val="21"/>
              </w:rPr>
              <w:t xml:space="preserve">G</w:t>
            </w:r>
            <w:r>
              <w:rPr>
                <w:rFonts w:ascii="Times New Roman" w:eastAsia="SimSun" w:hAnsi="Times New Roman"/>
                <w:i/>
                <w:sz w:val="21"/>
                <w:vertAlign w:val="subscript"/>
              </w:rPr>
              <w:t xml:space="preserve">s</w:t>
            </w:r>
            <w:r>
              <w:rPr>
                <w:rFonts w:ascii="Times New Roman" w:eastAsia="SimSun" w:hAnsi="Times New Roman"/>
                <w:sz w:val="21"/>
              </w:rPr>
              <w:t xml:space="preserve">、</w:t>
            </w:r>
            <w:r>
              <w:rPr>
                <w:rFonts w:ascii="Times New Roman" w:eastAsia="SimSun" w:hAnsi="Times New Roman"/>
                <w:i/>
                <w:sz w:val="21"/>
              </w:rPr>
              <w:t xml:space="preserve">e</w:t>
            </w:r>
            <w:r>
              <w:rPr>
                <w:rFonts w:ascii="Times New Roman" w:eastAsia="SimSun" w:hAnsi="Times New Roman"/>
                <w:sz w:val="21"/>
              </w:rPr>
              <w:t xml:space="preserve">、渗透系数；C1、C4、C5的材料依据</w:t>
            </w:r>
          </w:p>
        </w:tc>
        <w:tc>
          <w:tcPr>
            <w:tcW w:w="5306" w:type="dxa"/>
            <w:vAlign w:val="center"/>
          </w:tcPr>
          <w:p>
            <w:pPr>
              <w:spacing w:before="20" w:after="20" w:line="240" w:lineRule="auto"/>
              <w:jc w:val="left"/>
            </w:pPr>
            <w:r>
              <w:rPr>
                <w:rFonts w:ascii="Times New Roman" w:eastAsia="SimSun" w:hAnsi="Times New Roman"/>
                <w:sz w:val="21"/>
              </w:rPr>
              <w:t xml:space="preserve">2026-10-07批次67条界面记录、13个点位、7个地层标签；产状全为0待确认，渗透参数待补，GemPy建模未运行</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渗流与稳定计算（第4章）</w:t>
            </w:r>
          </w:p>
        </w:tc>
        <w:tc>
          <w:tcPr>
            <w:tcW w:w="2700" w:type="dxa"/>
            <w:vAlign w:val="center"/>
          </w:tcPr>
          <w:p>
            <w:pPr>
              <w:spacing w:before="20" w:after="20" w:line="240" w:lineRule="auto"/>
              <w:jc w:val="left"/>
            </w:pPr>
            <w:r>
              <w:rPr>
                <w:rFonts w:ascii="Times New Roman" w:eastAsia="SimSun" w:hAnsi="Times New Roman"/>
                <w:sz w:val="21"/>
              </w:rPr>
              <w:t xml:space="preserve">C1、C4、C5坡降比；D1、D2安全系数</w:t>
            </w:r>
          </w:p>
        </w:tc>
        <w:tc>
          <w:tcPr>
            <w:tcW w:w="5306" w:type="dxa"/>
            <w:vAlign w:val="center"/>
          </w:tcPr>
          <w:p>
            <w:pPr>
              <w:spacing w:before="20" w:after="20" w:line="240" w:lineRule="auto"/>
              <w:jc w:val="left"/>
            </w:pPr>
            <w:r>
              <w:rPr>
                <w:rFonts w:ascii="Times New Roman" w:eastAsia="SimSun" w:hAnsi="Times New Roman"/>
                <w:sz w:val="21"/>
              </w:rPr>
              <w:t xml:space="preserve">875条受控样本可复算；K45+500为交付结果摘录，原求解器输入未齐</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无人机红外巡检</w:t>
            </w:r>
          </w:p>
        </w:tc>
        <w:tc>
          <w:tcPr>
            <w:tcW w:w="2700" w:type="dxa"/>
            <w:vAlign w:val="center"/>
          </w:tcPr>
          <w:p>
            <w:pPr>
              <w:spacing w:before="20" w:after="20" w:line="240" w:lineRule="auto"/>
              <w:jc w:val="left"/>
            </w:pPr>
            <w:r>
              <w:rPr>
                <w:rFonts w:ascii="Times New Roman" w:eastAsia="SimSun" w:hAnsi="Times New Roman"/>
                <w:sz w:val="21"/>
              </w:rPr>
              <w:t xml:space="preserve">C3、观测门控、复核任务</w:t>
            </w:r>
          </w:p>
        </w:tc>
        <w:tc>
          <w:tcPr>
            <w:tcW w:w="5306" w:type="dxa"/>
            <w:vAlign w:val="center"/>
          </w:tcPr>
          <w:p>
            <w:pPr>
              <w:spacing w:before="20" w:after="20" w:line="240" w:lineRule="auto"/>
              <w:jc w:val="left"/>
            </w:pPr>
            <w:r>
              <w:rPr>
                <w:rFonts w:ascii="Times New Roman" w:eastAsia="SimSun" w:hAnsi="Times New Roman"/>
                <w:sz w:val="21"/>
              </w:rPr>
              <w:t xml:space="preserve">现场原图114张，复核候选9个均为误报；人工管涌验证图13张、检测框14个</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历史与工程台账</w:t>
            </w:r>
          </w:p>
        </w:tc>
        <w:tc>
          <w:tcPr>
            <w:tcW w:w="2700" w:type="dxa"/>
            <w:vAlign w:val="center"/>
          </w:tcPr>
          <w:p>
            <w:pPr>
              <w:spacing w:before="20" w:after="20" w:line="240" w:lineRule="auto"/>
              <w:jc w:val="left"/>
            </w:pPr>
            <w:r>
              <w:rPr>
                <w:rFonts w:ascii="Times New Roman" w:eastAsia="SimSun" w:hAnsi="Times New Roman"/>
                <w:sz w:val="21"/>
              </w:rPr>
              <w:t xml:space="preserve">A6、D3、C3历史状态，适用性判定</w:t>
            </w:r>
          </w:p>
        </w:tc>
        <w:tc>
          <w:tcPr>
            <w:tcW w:w="5306" w:type="dxa"/>
            <w:vAlign w:val="center"/>
          </w:tcPr>
          <w:p>
            <w:pPr>
              <w:spacing w:before="20" w:after="20" w:line="240" w:lineRule="auto"/>
              <w:jc w:val="left"/>
            </w:pPr>
            <w:r>
              <w:rPr>
                <w:rFonts w:ascii="Times New Roman" w:eastAsia="SimSun" w:hAnsi="Times New Roman"/>
                <w:sz w:val="21"/>
              </w:rPr>
              <w:t xml:space="preserve">K45+500记载2017年管涌险情；29项指标中15项缺失、4项来源冲突</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运行管理</w:t>
            </w:r>
          </w:p>
        </w:tc>
        <w:tc>
          <w:tcPr>
            <w:tcW w:w="2700" w:type="dxa"/>
            <w:vAlign w:val="center"/>
          </w:tcPr>
          <w:p>
            <w:pPr>
              <w:spacing w:before="20" w:after="20" w:line="240" w:lineRule="auto"/>
              <w:jc w:val="left"/>
            </w:pPr>
            <w:r>
              <w:rPr>
                <w:rFonts w:ascii="Times New Roman" w:eastAsia="SimSun" w:hAnsi="Times New Roman"/>
                <w:sz w:val="21"/>
              </w:rPr>
              <w:t xml:space="preserve">E1—E5安全屏障修正</w:t>
            </w:r>
          </w:p>
        </w:tc>
        <w:tc>
          <w:tcPr>
            <w:tcW w:w="5306" w:type="dxa"/>
            <w:vAlign w:val="center"/>
          </w:tcPr>
          <w:p>
            <w:pPr>
              <w:spacing w:before="20" w:after="20" w:line="240" w:lineRule="auto"/>
              <w:jc w:val="left"/>
            </w:pPr>
            <w:r>
              <w:rPr>
                <w:rFonts w:ascii="Times New Roman" w:eastAsia="SimSun" w:hAnsi="Times New Roman"/>
                <w:sz w:val="21"/>
              </w:rPr>
              <w:t xml:space="preserve">案例无可靠台账，按缺失处理，屏障覆盖度为0</w:t>
            </w:r>
          </w:p>
        </w:tc>
      </w:tr>
    </w:tbl>
    <w:p>
      <w:pPr>
        <w:keepNext/>
        <w:spacing w:before="120" w:after="120" w:line="360" w:lineRule="auto"/>
      </w:pPr>
      <w:r>
        <w:rPr>
          <w:rFonts w:ascii="Times New Roman" w:eastAsia="SimHei" w:hAnsi="Times New Roman"/>
          <w:b/>
          <w:sz w:val="24"/>
        </w:rPr>
        <w:t xml:space="preserve">5.2.2  指标体系、失效模式关联与权重</w:t>
      </w:r>
    </w:p>
    <w:p>
      <w:pPr>
        <w:spacing w:after="0" w:line="360" w:lineRule="auto"/>
        <w:ind w:firstLine="480"/>
        <w:jc w:val="both"/>
      </w:pPr>
      <w:r>
        <w:rPr>
          <w:rFonts w:ascii="Times New Roman" w:eastAsia="SimSun" w:hAnsi="Times New Roman"/>
          <w:sz w:val="24"/>
        </w:rPr>
        <w:t xml:space="preserve">评价沿用课题组的29项二级指标，分属工程质量A1—A9、防洪安全B1—B4、渗流安全C1—C6、结构安全D1—D5和运行管理E1—E5。前24项通过关联强度 </w:t>
      </w:r>
      <w:r>
        <w:rPr>
          <w:rFonts w:ascii="Times New Roman" w:eastAsia="SimSun" w:hAnsi="Times New Roman"/>
          <w:i/>
          <w:sz w:val="24"/>
        </w:rPr>
        <w:t xml:space="preserve">r</w:t>
      </w:r>
      <w:r>
        <w:rPr>
          <w:rFonts w:ascii="Times New Roman" w:eastAsia="SimSun" w:hAnsi="Times New Roman"/>
          <w:sz w:val="24"/>
          <w:vertAlign w:val="subscript"/>
        </w:rPr>
        <w:t xml:space="preserve">jm</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sz w:val="24"/>
        </w:rPr>
        <w:t xml:space="preserve">1</w:t>
      </w:r>
      <w:r>
        <w:rPr>
          <w:rFonts w:ascii="Times New Roman" w:eastAsia="SimSun" w:hAnsi="Times New Roman"/>
          <w:sz w:val="24"/>
        </w:rPr>
        <w:t xml:space="preserve">, </w:t>
      </w:r>
      <w:r>
        <w:rPr>
          <w:rFonts w:ascii="Times New Roman" w:eastAsia="SimSun" w:hAnsi="Times New Roman"/>
          <w:sz w:val="24"/>
        </w:rPr>
        <w:t xml:space="preserve">2</w:t>
      </w:r>
      <w:r>
        <w:rPr>
          <w:rFonts w:ascii="Times New Roman" w:eastAsia="SimSun" w:hAnsi="Times New Roman"/>
          <w:sz w:val="24"/>
        </w:rPr>
        <w:t xml:space="preserve">, </w:t>
      </w:r>
      <w:r>
        <w:rPr>
          <w:rFonts w:ascii="Times New Roman" w:eastAsia="SimSun" w:hAnsi="Times New Roman"/>
          <w:sz w:val="24"/>
        </w:rPr>
        <w:t xml:space="preserve">3</w:t>
      </w:r>
      <w:r>
        <w:rPr>
          <w:rFonts w:ascii="Times New Roman" w:eastAsia="SimSun" w:hAnsi="Times New Roman"/>
          <w:sz w:val="24"/>
        </w:rPr>
        <w:t xml:space="preserve">}</w:t>
      </w:r>
      <w:r>
        <w:rPr>
          <w:rFonts w:ascii="Times New Roman" w:eastAsia="SimSun" w:hAnsi="Times New Roman"/>
          <w:sz w:val="24"/>
        </w:rPr>
        <w:t xml:space="preserve"> 映射到漫顶、渗流破坏、边坡失稳、冲刷和穿堤建筑物失效五类模式（0至3依次表示无关、间接、重要和直接控制），如C1、C4、C5对渗流破坏取3；E1—E5不定义物理模式，作为安全屏障修正模式响应。一级权重依据SL/Z 679—2015</w:t>
      </w:r>
      <w:r>
        <w:rPr>
          <w:rFonts w:ascii="Times New Roman" w:eastAsia="SimSun" w:hAnsi="Times New Roman"/>
          <w:sz w:val="24"/>
          <w:vertAlign w:val="superscript"/>
        </w:rPr>
        <w:t xml:space="preserve">[136]</w:t>
      </w:r>
      <w:r>
        <w:rPr>
          <w:rFonts w:ascii="Times New Roman" w:eastAsia="SimSun" w:hAnsi="Times New Roman"/>
          <w:sz w:val="24"/>
        </w:rPr>
        <w:t xml:space="preserve">的五维框架以AHP构造，判断矩阵为一致矩阵（</w:t>
      </w:r>
      <w:r>
        <w:rPr>
          <w:rFonts w:ascii="Times New Roman" w:eastAsia="SimSun" w:hAnsi="Times New Roman"/>
          <w:sz w:val="24"/>
        </w:rPr>
        <w:t xml:space="preserve">CR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），五个准则层权重为0.1818、0.1818、0.3636、0.1818、0.0909；二级权重亦为AHP常权。记指标 </w:t>
      </w:r>
      <w:r>
        <w:rPr>
          <w:rFonts w:ascii="Times New Roman" w:eastAsia="SimSun" w:hAnsi="Times New Roman"/>
          <w:i/>
          <w:sz w:val="24"/>
        </w:rPr>
        <w:t xml:space="preserve">j</w:t>
      </w:r>
      <w:r>
        <w:rPr>
          <w:rFonts w:ascii="Times New Roman" w:eastAsia="SimSun" w:hAnsi="Times New Roman"/>
          <w:sz w:val="24"/>
        </w:rPr>
        <w:t xml:space="preserve"> 的综合权重为 </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sz w:val="24"/>
        </w:rPr>
        <w:t xml:space="preserve">，模式权重为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W</w:t>
      </w:r>
      <w:r>
        <w:rPr>
          <w:rFonts w:ascii="Times New Roman" w:eastAsia="SimSun" w:hAnsi="Times New Roman"/>
          <w:i/>
          <w:sz w:val="24"/>
          <w:vertAlign w:val="subscript"/>
        </w:rPr>
        <w:t xml:space="preserve">m</w:t>
      </w:r>
      <w:r>
        <w:rPr>
          <w:rFonts w:ascii="Times New Roman" w:eastAsia="SimSun" w:hAnsi="Times New Roman"/>
          <w:sz w:val="24"/>
        </w:rPr>
        <w:t xml:space="preserve"> = </w:t>
      </w:r>
      <w:r>
        <w:rPr>
          <w:rFonts w:ascii="Times New Roman" w:eastAsia="SimSun" w:hAnsi="Times New Roman"/>
          <w:sz w:val="24"/>
        </w:rPr>
        <w:t xml:space="preserve">Σ</w:t>
      </w:r>
      <w:r>
        <w:rPr>
          <w:rFonts w:ascii="Times New Roman" w:eastAsia="SimSun" w:hAnsi="Times New Roman"/>
          <w:i/>
          <w:sz w:val="24"/>
          <w:vertAlign w:val="subscript"/>
        </w:rPr>
        <w:t xml:space="preserve">j</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i/>
          <w:sz w:val="24"/>
        </w:rPr>
        <w:t xml:space="preserve">r</w:t>
      </w:r>
      <w:r>
        <w:rPr>
          <w:rFonts w:ascii="Times New Roman" w:eastAsia="SimSun" w:hAnsi="Times New Roman"/>
          <w:sz w:val="24"/>
          <w:vertAlign w:val="subscript"/>
        </w:rPr>
        <w:t xml:space="preserve">jm</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sz w:val="24"/>
        </w:rPr>
        <w:t xml:space="preserve">Σ</w:t>
      </w:r>
      <w:r>
        <w:rPr>
          <w:rFonts w:ascii="Times New Roman" w:eastAsia="SimSun" w:hAnsi="Times New Roman"/>
          <w:i/>
          <w:sz w:val="24"/>
          <w:vertAlign w:val="subscript"/>
        </w:rPr>
        <w:t xml:space="preserve">j</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i/>
          <w:sz w:val="24"/>
        </w:rPr>
        <w:t xml:space="preserve">r</w:t>
      </w:r>
      <w:r>
        <w:rPr>
          <w:rFonts w:ascii="Times New Roman" w:eastAsia="SimSun" w:hAnsi="Times New Roman"/>
          <w:sz w:val="24"/>
          <w:vertAlign w:val="subscript"/>
        </w:rPr>
        <w:t xml:space="preserve">jk</w:t>
      </w:r>
      <w:r>
        <w:rPr>
          <w:rFonts w:ascii="Times New Roman" w:eastAsia="SimSun" w:hAnsi="Times New Roman"/>
          <w:sz w:val="24"/>
        </w:rPr>
        <w:t xml:space="preserve">)</w:t>
      </w:r>
      <w:r>
        <w:rPr>
          <w:rFonts w:ascii="Times New Roman" w:eastAsia="SimSun" w:hAnsi="Times New Roman"/>
          <w:sz w:val="24"/>
        </w:rPr>
        <w:t xml:space="preserve"/>
        <w:tab/>
        <w:t xml:space="preserve">(5-1)</w:t>
      </w:r>
    </w:p>
    <w:p>
      <w:pPr>
        <w:spacing w:after="0" w:line="360" w:lineRule="auto"/>
        <w:ind w:firstLine="480"/>
        <w:jc w:val="both"/>
      </w:pPr>
      <w:r>
        <w:rPr>
          <w:rFonts w:ascii="Times New Roman" w:eastAsia="SimSun" w:hAnsi="Times New Roman"/>
          <w:sz w:val="24"/>
        </w:rPr>
        <w:t xml:space="preserve">得漫顶、渗流破坏、边坡失稳、冲刷和穿堤建筑物失效的权重为0.1726、0.4085、0.2350、0.0750和0.1089。本项目未开展专家问卷，上述权重应称为“基于层次分析法形成的常权配置”；式（2-8）的组合赋权及原型中的AHP—CRITIC候选权重</w:t>
      </w:r>
      <w:r>
        <w:rPr>
          <w:rFonts w:ascii="Times New Roman" w:eastAsia="SimSun" w:hAnsi="Times New Roman"/>
          <w:sz w:val="24"/>
          <w:vertAlign w:val="superscript"/>
        </w:rPr>
        <w:t xml:space="preserve">[194]</w:t>
      </w:r>
      <w:r>
        <w:rPr>
          <w:rFonts w:ascii="Times New Roman" w:eastAsia="SimSun" w:hAnsi="Times New Roman"/>
          <w:sz w:val="24"/>
        </w:rPr>
        <w:t xml:space="preserve">尚未在独立校准集上确定组合系数，本章不使用。由于固定权重下的两层加权可展开为对指标重新赋权的一层加权和，关联矩阵本身不能阻止关键指标被平均，模型依靠短板项与门控保留关键风险。</w:t>
      </w:r>
    </w:p>
    <w:p>
      <w:pPr>
        <w:keepNext/>
        <w:spacing w:before="120" w:after="120" w:line="360" w:lineRule="auto"/>
      </w:pPr>
      <w:r>
        <w:rPr>
          <w:rFonts w:ascii="Times New Roman" w:eastAsia="SimHei" w:hAnsi="Times New Roman"/>
          <w:b/>
          <w:sz w:val="24"/>
        </w:rPr>
        <w:t xml:space="preserve">5.2.3  证据状态与可采纳性</w:t>
      </w:r>
    </w:p>
    <w:p>
      <w:pPr>
        <w:spacing w:after="0" w:line="360" w:lineRule="auto"/>
        <w:ind w:firstLine="480"/>
        <w:jc w:val="both"/>
      </w:pPr>
      <w:r>
        <w:rPr>
          <w:rFonts w:ascii="Times New Roman" w:eastAsia="SimSun" w:hAnsi="Times New Roman"/>
          <w:sz w:val="24"/>
        </w:rPr>
        <w:t xml:space="preserve">资料中的常见问题是状态混淆：未观测被当作无异常，算法候选被当作确认险情，“不涉及”被编码为100分。本章为每条证据记录五种状态（表5.2），并以PROV-DM模型</w:t>
      </w:r>
      <w:r>
        <w:rPr>
          <w:rFonts w:ascii="Times New Roman" w:eastAsia="SimSun" w:hAnsi="Times New Roman"/>
          <w:sz w:val="24"/>
          <w:vertAlign w:val="superscript"/>
        </w:rPr>
        <w:t xml:space="preserve">[195]</w:t>
      </w:r>
      <w:r>
        <w:rPr>
          <w:rFonts w:ascii="Times New Roman" w:eastAsia="SimSun" w:hAnsi="Times New Roman"/>
          <w:sz w:val="24"/>
        </w:rPr>
        <w:t xml:space="preserve">保存其溯源关系。</w:t>
      </w:r>
    </w:p>
    <w:p>
      <w:pPr>
        <w:keepNext/>
        <w:spacing w:before="120" w:after="60" w:line="240" w:lineRule="auto"/>
        <w:jc w:val="center"/>
      </w:pPr>
      <w:r>
        <w:rPr>
          <w:rFonts w:ascii="Times New Roman" w:eastAsia="SimSun" w:hAnsi="Times New Roman"/>
          <w:sz w:val="21"/>
        </w:rPr>
        <w:t xml:space="preserve">表5.2  证据状态定义与处理规则</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100"/>
        <w:gridCol w:w="3000"/>
        <w:gridCol w:w="5306"/>
      </w:tblGrid>
      <w:tr>
        <w:trPr>
          <w:tblHeader/>
          <w:cantSplit/>
          <w:jc w:val="center"/>
        </w:trPr>
        <w:tc>
          <w:tcPr>
            <w:tcW w:w="1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状态</w:t>
            </w:r>
          </w:p>
        </w:tc>
        <w:tc>
          <w:tcPr>
            <w:tcW w:w="3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判定条件</w:t>
            </w:r>
          </w:p>
        </w:tc>
        <w:tc>
          <w:tcPr>
            <w:tcW w:w="53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评价中的处理（及禁止的推断）</w:t>
            </w:r>
          </w:p>
        </w:tc>
      </w:tr>
      <w:tr>
        <w:trPr>
          <w:cantSplit/>
          <w:jc w:val="center"/>
        </w:trPr>
        <w:tc>
          <w:tcPr>
            <w:tcW w:w="1100" w:type="dxa"/>
            <w:vAlign w:val="center"/>
          </w:tcPr>
          <w:p>
            <w:pPr>
              <w:spacing w:before="20" w:after="20" w:line="240" w:lineRule="auto"/>
              <w:jc w:val="center"/>
            </w:pPr>
            <w:r>
              <w:rPr>
                <w:rFonts w:ascii="Times New Roman" w:eastAsia="SimSun" w:hAnsi="Times New Roman"/>
                <w:sz w:val="21"/>
              </w:rPr>
              <w:t xml:space="preserve">缺失</w:t>
            </w:r>
          </w:p>
        </w:tc>
        <w:tc>
          <w:tcPr>
            <w:tcW w:w="3000" w:type="dxa"/>
            <w:vAlign w:val="center"/>
          </w:tcPr>
          <w:p>
            <w:pPr>
              <w:spacing w:before="20" w:after="20" w:line="240" w:lineRule="auto"/>
              <w:jc w:val="left"/>
            </w:pPr>
            <w:r>
              <w:rPr>
                <w:rFonts w:ascii="Times New Roman" w:eastAsia="SimSun" w:hAnsi="Times New Roman"/>
                <w:sz w:val="21"/>
              </w:rPr>
              <w:t xml:space="preserve">应评价但未取得、过期或不可用</w:t>
            </w:r>
          </w:p>
        </w:tc>
        <w:tc>
          <w:tcPr>
            <w:tcW w:w="5306" w:type="dxa"/>
            <w:vAlign w:val="center"/>
          </w:tcPr>
          <w:p>
            <w:pPr>
              <w:spacing w:before="20" w:after="20" w:line="240" w:lineRule="auto"/>
              <w:jc w:val="left"/>
            </w:pPr>
            <w:r>
              <w:rPr>
                <w:rFonts w:ascii="Times New Roman" w:eastAsia="SimSun" w:hAnsi="Times New Roman"/>
                <w:sz w:val="21"/>
              </w:rPr>
              <w:t xml:space="preserve">不补0或100，以[0,1]未知响应传播或输出“证据不足”；缺失不等于合格</w:t>
            </w:r>
          </w:p>
        </w:tc>
      </w:tr>
      <w:tr>
        <w:trPr>
          <w:cantSplit/>
          <w:jc w:val="center"/>
        </w:trPr>
        <w:tc>
          <w:tcPr>
            <w:tcW w:w="1100" w:type="dxa"/>
            <w:vAlign w:val="center"/>
          </w:tcPr>
          <w:p>
            <w:pPr>
              <w:spacing w:before="20" w:after="20" w:line="240" w:lineRule="auto"/>
              <w:jc w:val="center"/>
            </w:pPr>
            <w:r>
              <w:rPr>
                <w:rFonts w:ascii="Times New Roman" w:eastAsia="SimSun" w:hAnsi="Times New Roman"/>
                <w:sz w:val="21"/>
              </w:rPr>
              <w:t xml:space="preserve">不适用</w:t>
            </w:r>
          </w:p>
        </w:tc>
        <w:tc>
          <w:tcPr>
            <w:tcW w:w="3000" w:type="dxa"/>
            <w:vAlign w:val="center"/>
          </w:tcPr>
          <w:p>
            <w:pPr>
              <w:spacing w:before="20" w:after="20" w:line="240" w:lineRule="auto"/>
              <w:jc w:val="left"/>
            </w:pPr>
            <w:r>
              <w:rPr>
                <w:rFonts w:ascii="Times New Roman" w:eastAsia="SimSun" w:hAnsi="Times New Roman"/>
                <w:sz w:val="21"/>
              </w:rPr>
              <w:t xml:space="preserve">经工程范围确认设施或模式不存在</w:t>
            </w:r>
          </w:p>
        </w:tc>
        <w:tc>
          <w:tcPr>
            <w:tcW w:w="5306" w:type="dxa"/>
            <w:vAlign w:val="center"/>
          </w:tcPr>
          <w:p>
            <w:pPr>
              <w:spacing w:before="20" w:after="20" w:line="240" w:lineRule="auto"/>
              <w:jc w:val="left"/>
            </w:pPr>
            <w:r>
              <w:rPr>
                <w:rFonts w:ascii="Times New Roman" w:eastAsia="SimSun" w:hAnsi="Times New Roman"/>
                <w:sz w:val="21"/>
              </w:rPr>
              <w:t xml:space="preserve">停用对应指标或模式并记录依据；不以100分表示检测合格</w:t>
            </w:r>
          </w:p>
        </w:tc>
      </w:tr>
      <w:tr>
        <w:trPr>
          <w:cantSplit/>
          <w:jc w:val="center"/>
        </w:trPr>
        <w:tc>
          <w:tcPr>
            <w:tcW w:w="1100" w:type="dxa"/>
            <w:vAlign w:val="center"/>
          </w:tcPr>
          <w:p>
            <w:pPr>
              <w:spacing w:before="20" w:after="20" w:line="240" w:lineRule="auto"/>
              <w:jc w:val="center"/>
            </w:pPr>
            <w:r>
              <w:rPr>
                <w:rFonts w:ascii="Times New Roman" w:eastAsia="SimSun" w:hAnsi="Times New Roman"/>
                <w:sz w:val="21"/>
              </w:rPr>
              <w:t xml:space="preserve">候选</w:t>
            </w:r>
          </w:p>
        </w:tc>
        <w:tc>
          <w:tcPr>
            <w:tcW w:w="3000" w:type="dxa"/>
            <w:vAlign w:val="center"/>
          </w:tcPr>
          <w:p>
            <w:pPr>
              <w:spacing w:before="20" w:after="20" w:line="240" w:lineRule="auto"/>
              <w:jc w:val="left"/>
            </w:pPr>
            <w:r>
              <w:rPr>
                <w:rFonts w:ascii="Times New Roman" w:eastAsia="SimSun" w:hAnsi="Times New Roman"/>
                <w:sz w:val="21"/>
              </w:rPr>
              <w:t xml:space="preserve">算法检出、尚未人工复核</w:t>
            </w:r>
          </w:p>
        </w:tc>
        <w:tc>
          <w:tcPr>
            <w:tcW w:w="5306" w:type="dxa"/>
            <w:vAlign w:val="center"/>
          </w:tcPr>
          <w:p>
            <w:pPr>
              <w:spacing w:before="20" w:after="20" w:line="240" w:lineRule="auto"/>
              <w:jc w:val="left"/>
            </w:pPr>
            <w:r>
              <w:rPr>
                <w:rFonts w:ascii="Times New Roman" w:eastAsia="SimSun" w:hAnsi="Times New Roman"/>
                <w:sz w:val="21"/>
              </w:rPr>
              <w:t xml:space="preserve">生成复核任务，只扩展可能等级上界；不施加确定下限</w:t>
            </w:r>
          </w:p>
        </w:tc>
      </w:tr>
      <w:tr>
        <w:trPr>
          <w:cantSplit/>
          <w:jc w:val="center"/>
        </w:trPr>
        <w:tc>
          <w:tcPr>
            <w:tcW w:w="1100" w:type="dxa"/>
            <w:vAlign w:val="center"/>
          </w:tcPr>
          <w:p>
            <w:pPr>
              <w:spacing w:before="20" w:after="20" w:line="240" w:lineRule="auto"/>
              <w:jc w:val="center"/>
            </w:pPr>
            <w:r>
              <w:rPr>
                <w:rFonts w:ascii="Times New Roman" w:eastAsia="SimSun" w:hAnsi="Times New Roman"/>
                <w:sz w:val="21"/>
              </w:rPr>
              <w:t xml:space="preserve">已复核</w:t>
            </w:r>
          </w:p>
        </w:tc>
        <w:tc>
          <w:tcPr>
            <w:tcW w:w="3000" w:type="dxa"/>
            <w:vAlign w:val="center"/>
          </w:tcPr>
          <w:p>
            <w:pPr>
              <w:spacing w:before="20" w:after="20" w:line="240" w:lineRule="auto"/>
              <w:jc w:val="left"/>
            </w:pPr>
            <w:r>
              <w:rPr>
                <w:rFonts w:ascii="Times New Roman" w:eastAsia="SimSun" w:hAnsi="Times New Roman"/>
                <w:sz w:val="21"/>
              </w:rPr>
              <w:t xml:space="preserve">人工给出确认、误报或存疑结论</w:t>
            </w:r>
          </w:p>
        </w:tc>
        <w:tc>
          <w:tcPr>
            <w:tcW w:w="5306" w:type="dxa"/>
            <w:vAlign w:val="center"/>
          </w:tcPr>
          <w:p>
            <w:pPr>
              <w:spacing w:before="20" w:after="20" w:line="240" w:lineRule="auto"/>
              <w:jc w:val="left"/>
            </w:pPr>
            <w:r>
              <w:rPr>
                <w:rFonts w:ascii="Times New Roman" w:eastAsia="SimSun" w:hAnsi="Times New Roman"/>
                <w:sz w:val="21"/>
              </w:rPr>
              <w:t xml:space="preserve">确认者待时空闭合后可采纳；误报区域不视为已检查无异常</w:t>
            </w:r>
          </w:p>
        </w:tc>
      </w:tr>
      <w:tr>
        <w:trPr>
          <w:cantSplit/>
          <w:jc w:val="center"/>
        </w:trPr>
        <w:tc>
          <w:tcPr>
            <w:tcW w:w="1100" w:type="dxa"/>
            <w:vAlign w:val="center"/>
          </w:tcPr>
          <w:p>
            <w:pPr>
              <w:spacing w:before="20" w:after="20" w:line="240" w:lineRule="auto"/>
              <w:jc w:val="center"/>
            </w:pPr>
            <w:r>
              <w:rPr>
                <w:rFonts w:ascii="Times New Roman" w:eastAsia="SimSun" w:hAnsi="Times New Roman"/>
                <w:sz w:val="21"/>
              </w:rPr>
              <w:t xml:space="preserve">可采纳</w:t>
            </w:r>
          </w:p>
        </w:tc>
        <w:tc>
          <w:tcPr>
            <w:tcW w:w="3000" w:type="dxa"/>
            <w:vAlign w:val="center"/>
          </w:tcPr>
          <w:p>
            <w:pPr>
              <w:spacing w:before="20" w:after="20" w:line="240" w:lineRule="auto"/>
              <w:jc w:val="left"/>
            </w:pPr>
            <w:r>
              <w:rPr>
                <w:rFonts w:ascii="Times New Roman" w:eastAsia="SimSun" w:hAnsi="Times New Roman"/>
                <w:sz w:val="21"/>
              </w:rPr>
              <w:t xml:space="preserve">空间相交、时间有效、版本相容</w:t>
            </w:r>
          </w:p>
        </w:tc>
        <w:tc>
          <w:tcPr>
            <w:tcW w:w="5306" w:type="dxa"/>
            <w:vAlign w:val="center"/>
          </w:tcPr>
          <w:p>
            <w:pPr>
              <w:spacing w:before="20" w:after="20" w:line="240" w:lineRule="auto"/>
              <w:jc w:val="left"/>
            </w:pPr>
            <w:r>
              <w:rPr>
                <w:rFonts w:ascii="Times New Roman" w:eastAsia="SimSun" w:hAnsi="Times New Roman"/>
                <w:sz w:val="21"/>
              </w:rPr>
              <w:t xml:space="preserve">进入评分、门控与学习层；不代表数值精度已校准</w:t>
            </w:r>
          </w:p>
        </w:tc>
      </w:tr>
    </w:tbl>
    <w:p>
      <w:pPr>
        <w:spacing w:after="0" w:line="360" w:lineRule="auto"/>
        <w:ind w:firstLine="480"/>
        <w:jc w:val="both"/>
      </w:pPr>
      <w:r>
        <w:rPr>
          <w:rFonts w:ascii="Times New Roman" w:eastAsia="SimSun" w:hAnsi="Times New Roman"/>
          <w:sz w:val="24"/>
        </w:rPr>
        <w:t xml:space="preserve">指标 </w:t>
      </w:r>
      <w:r>
        <w:rPr>
          <w:rFonts w:ascii="Times New Roman" w:eastAsia="SimSun" w:hAnsi="Times New Roman"/>
          <w:i/>
          <w:sz w:val="24"/>
        </w:rPr>
        <w:t xml:space="preserve">x</w:t>
      </w:r>
      <w:r>
        <w:rPr>
          <w:rFonts w:ascii="Times New Roman" w:eastAsia="SimSun" w:hAnsi="Times New Roman"/>
          <w:i/>
          <w:sz w:val="24"/>
          <w:vertAlign w:val="subscript"/>
        </w:rPr>
        <w:t xml:space="preserve">j</w:t>
      </w:r>
      <w:r>
        <w:rPr>
          <w:rFonts w:ascii="Times New Roman" w:eastAsia="SimSun" w:hAnsi="Times New Roman"/>
          <w:sz w:val="24"/>
        </w:rPr>
        <w:t xml:space="preserve"> 对单元 </w:t>
      </w:r>
      <w:r>
        <w:rPr>
          <w:rFonts w:ascii="Times New Roman" w:eastAsia="SimSun" w:hAnsi="Times New Roman"/>
          <w:i/>
          <w:sz w:val="24"/>
        </w:rPr>
        <w:t xml:space="preserve">u</w:t>
      </w:r>
      <w:r>
        <w:rPr>
          <w:rFonts w:ascii="Times New Roman" w:eastAsia="SimSun" w:hAnsi="Times New Roman"/>
          <w:sz w:val="24"/>
        </w:rPr>
        <w:t xml:space="preserve"> 的可采纳性定义为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a</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w:t>
      </w:r>
      <w:r>
        <w:rPr>
          <w:rFonts w:ascii="Times New Roman" w:eastAsia="SimSun" w:hAnsi="Times New Roman"/>
          <w:i/>
          <w:sz w:val="24"/>
        </w:rPr>
        <w:t xml:space="preserve">w</w:t>
      </w:r>
      <w:r>
        <w:rPr>
          <w:rFonts w:ascii="Times New Roman" w:eastAsia="SimSun" w:hAnsi="Times New Roman"/>
          <w:sz w:val="24"/>
        </w:rPr>
        <w:t xml:space="preserve">, </w:t>
      </w:r>
      <w:r>
        <w:rPr>
          <w:rFonts w:ascii="Times New Roman" w:eastAsia="SimSun" w:hAnsi="Times New Roman"/>
          <w:i/>
          <w:sz w:val="24"/>
        </w:rPr>
        <w:t xml:space="preserve">t</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Cambria Math" w:eastAsia="Cambria Math" w:hAnsi="Cambria Math"/>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rPr>
        <w:t xml:space="preserve"> ∈ </w:t>
      </w:r>
      <w:r>
        <w:rPr>
          <w:rFonts w:ascii="Times New Roman" w:eastAsia="SimSun" w:hAnsi="Times New Roman"/>
          <w:i/>
          <w:sz w:val="24"/>
        </w:rPr>
        <w:t xml:space="preserve">T</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v</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w:tab/>
        <w:t xml:space="preserve">(5-2)</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s</w:t>
      </w:r>
      <w:r>
        <w:rPr>
          <w:rFonts w:ascii="Times New Roman" w:eastAsia="SimSun" w:hAnsi="Times New Roman"/>
          <w:sz w:val="24"/>
        </w:rPr>
        <w:t xml:space="preserve"> 为证据空间支持与单元空间范围，</w:t>
      </w:r>
      <w:r>
        <w:rPr>
          <w:rFonts w:ascii="Times New Roman" w:eastAsia="SimSun" w:hAnsi="Times New Roman"/>
          <w:i/>
          <w:sz w:val="24"/>
        </w:rPr>
        <w:t xml:space="preserve">T</w:t>
      </w:r>
      <w:r>
        <w:rPr>
          <w:rFonts w:ascii="Times New Roman" w:eastAsia="SimSun" w:hAnsi="Times New Roman"/>
          <w:i/>
          <w:sz w:val="24"/>
          <w:vertAlign w:val="subscript"/>
        </w:rPr>
        <w:t xml:space="preserve">j</w:t>
      </w:r>
      <w:r>
        <w:rPr>
          <w:rFonts w:ascii="Times New Roman" w:eastAsia="SimSun" w:hAnsi="Times New Roman"/>
          <w:sz w:val="24"/>
        </w:rPr>
        <w:t xml:space="preserve"> 为有效时间窗口，</w:t>
      </w:r>
      <w:r>
        <w:rPr>
          <w:rFonts w:ascii="Times New Roman" w:eastAsia="SimSun" w:hAnsi="Times New Roman"/>
          <w:i/>
          <w:sz w:val="24"/>
        </w:rPr>
        <w:t xml:space="preserve">v</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v</w:t>
      </w:r>
      <w:r>
        <w:rPr>
          <w:rFonts w:ascii="Times New Roman" w:eastAsia="SimSun" w:hAnsi="Times New Roman"/>
          <w:sz w:val="24"/>
        </w:rPr>
        <w:t xml:space="preserve"> 表示版本相容。</w:t>
      </w:r>
      <w:r>
        <w:rPr>
          <w:rFonts w:ascii="Times New Roman" w:eastAsia="SimSun" w:hAnsi="Times New Roman"/>
          <w:i/>
          <w:sz w:val="24"/>
        </w:rPr>
        <w:t xml:space="preserve">a</w:t>
      </w:r>
      <w:r>
        <w:rPr>
          <w:rFonts w:ascii="Times New Roman" w:eastAsia="SimSun" w:hAnsi="Times New Roman"/>
          <w:i/>
          <w:sz w:val="24"/>
          <w:vertAlign w:val="subscript"/>
        </w:rPr>
        <w:t xml:space="preserve">j</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 时原始值只保留在溯源记录中而不进入评分，空间错配的巡检框或过期的渗流结果因此表现为溯源失败，而不是数值0。</w:t>
      </w:r>
    </w:p>
    <w:p>
      <w:pPr>
        <w:keepNext/>
        <w:spacing w:before="240" w:after="120" w:line="360" w:lineRule="auto"/>
      </w:pPr>
      <w:r>
        <w:rPr>
          <w:rFonts w:ascii="Times New Roman" w:eastAsia="SimHei" w:hAnsi="Times New Roman"/>
          <w:b/>
          <w:sz w:val="24"/>
        </w:rPr>
        <w:t xml:space="preserve">5.3  堤防无人机巡检方案与管涌病害智能识别</w:t>
      </w:r>
    </w:p>
    <w:p>
      <w:pPr>
        <w:keepNext/>
        <w:spacing w:before="120" w:after="120" w:line="360" w:lineRule="auto"/>
      </w:pPr>
      <w:r>
        <w:rPr>
          <w:rFonts w:ascii="Times New Roman" w:eastAsia="SimHei" w:hAnsi="Times New Roman"/>
          <w:b/>
          <w:sz w:val="24"/>
        </w:rPr>
        <w:t xml:space="preserve">5.3.1  巡检方案与本批资料核对</w:t>
      </w:r>
    </w:p>
    <w:p>
      <w:pPr>
        <w:spacing w:after="0" w:line="360" w:lineRule="auto"/>
        <w:ind w:firstLine="480"/>
        <w:jc w:val="both"/>
      </w:pPr>
      <w:r>
        <w:rPr>
          <w:rFonts w:ascii="Times New Roman" w:eastAsia="SimSun" w:hAnsi="Times New Roman"/>
          <w:sz w:val="24"/>
        </w:rPr>
        <w:t xml:space="preserve">透明巡检采用M300 RTK平台搭载禅思H20T双光载荷，红外分辨率640×512，工作于8—14 μm长波窗口（2.5.1节），沿堤顶、背水坡和坡脚布设航线，检测输出的候选框由工程人员逐个复核。面向评价的方案还须交付按目标设定的辐射参数、按堤段记录的覆盖区间与重复次数以及逐候选的复核记录，“缺失”与“已检查无异常”的区分正依赖覆盖记录。本批现场资料与方案要求的差距在于：114张图像全部采集于2025-08-28白天（09时83张、10时18张、11时10张、15时3张），而非夜间或凌晨；113张辐射温度图均为发射率1.00、距离5 m、湿度70%、反射温度23.0 ℃的默认参数，绝对温度未经校正，不能据以构造温度阈值；图像均有GPS与时间戳，可形成候选桩号区间；未提供逐段覆盖记录，未覆盖段只能保持“未观测”；9条复核记录的结论与原因齐全，但复核人与复核时间为空。</w:t>
      </w:r>
    </w:p>
    <w:p>
      <w:pPr>
        <w:keepNext/>
        <w:spacing w:before="120" w:after="120" w:line="360" w:lineRule="auto"/>
      </w:pPr>
      <w:r>
        <w:rPr>
          <w:rFonts w:ascii="Times New Roman" w:eastAsia="SimHei" w:hAnsi="Times New Roman"/>
          <w:b/>
          <w:sz w:val="24"/>
        </w:rPr>
        <w:t xml:space="preserve">5.3.2  管涌病害识别模型与输出格式</w:t>
      </w:r>
    </w:p>
    <w:p>
      <w:pPr>
        <w:spacing w:after="0" w:line="360" w:lineRule="auto"/>
        <w:ind w:firstLine="480"/>
        <w:jc w:val="both"/>
      </w:pPr>
      <w:r>
        <w:rPr>
          <w:rFonts w:ascii="Times New Roman" w:eastAsia="SimSun" w:hAnsi="Times New Roman"/>
          <w:sz w:val="24"/>
        </w:rPr>
        <w:t xml:space="preserve">识别采用2.5.2节和2.5.3节所述的YOLO系列单阶段检测框架</w:t>
      </w:r>
      <w:r>
        <w:rPr>
          <w:rFonts w:ascii="Times New Roman" w:eastAsia="SimSun" w:hAnsi="Times New Roman"/>
          <w:sz w:val="24"/>
          <w:vertAlign w:val="superscript"/>
        </w:rPr>
        <w:t xml:space="preserve">[125,126]</w:t>
      </w:r>
      <w:r>
        <w:rPr>
          <w:rFonts w:ascii="Times New Roman" w:eastAsia="SimSun" w:hAnsi="Times New Roman"/>
          <w:sz w:val="24"/>
        </w:rPr>
        <w:t xml:space="preserve">，课题组的P2ES-YOLO在YOLOv8n基础上加入P2小目标分支、EIoU损失与SimAM注意力</w:t>
      </w:r>
      <w:r>
        <w:rPr>
          <w:rFonts w:ascii="Times New Roman" w:eastAsia="SimSun" w:hAnsi="Times New Roman"/>
          <w:sz w:val="24"/>
          <w:vertAlign w:val="superscript"/>
        </w:rPr>
        <w:t xml:space="preserve">[28]</w:t>
      </w:r>
      <w:r>
        <w:rPr>
          <w:rFonts w:ascii="Times New Roman" w:eastAsia="SimSun" w:hAnsi="Times New Roman"/>
          <w:sz w:val="24"/>
        </w:rPr>
        <w:t xml:space="preserve">。检测器为每个候选框输出类别（0，Piping）、归一化中心坐标与宽高和置信度。本批22个标签文件共23个检测框（现场9个、人工验证14个），复核表中的置信度与TXT输出在0.005容差内全部一致。改进检测器的训练集、测试集与对比实验不在本章资料包中，待巡检子课题提交后补入；本章不报告检测精度，而把检测输出作为候选证据，要求评价层在检测器质量未知时也不产生假安全结论。</w:t>
      </w:r>
    </w:p>
    <w:p>
      <w:pPr>
        <w:keepNext/>
        <w:spacing w:before="120" w:after="120" w:line="360" w:lineRule="auto"/>
      </w:pPr>
      <w:r>
        <w:rPr>
          <w:rFonts w:ascii="Times New Roman" w:eastAsia="SimHei" w:hAnsi="Times New Roman"/>
          <w:b/>
          <w:sz w:val="24"/>
        </w:rPr>
        <w:t xml:space="preserve">5.3.3  现场复核结果与误报机理</w:t>
      </w:r>
    </w:p>
    <w:p>
      <w:pPr>
        <w:spacing w:after="0" w:line="360" w:lineRule="auto"/>
        <w:ind w:firstLine="480"/>
        <w:jc w:val="both"/>
      </w:pPr>
      <w:r>
        <w:rPr>
          <w:rFonts w:ascii="Times New Roman" w:eastAsia="SimSun" w:hAnsi="Times New Roman"/>
          <w:sz w:val="24"/>
        </w:rPr>
        <w:t xml:space="preserve">进入复核的9个现场候选全部被判为误报（图5.2a）：水陆边界5个、植被及阴影2个、建筑边缘热惯性1个、潮湿地面或镜头渐晕1个。置信度为0.466—0.777，最高的两个（0.777与0.767）分别来自水体边缘和植被区，置信度阈值无法将其与真实渗漏分开。0/9确认对应候选精度的单侧95%精确上界为0.28</w:t>
      </w:r>
      <w:r>
        <w:rPr>
          <w:rFonts w:ascii="Times New Roman" w:eastAsia="SimSun" w:hAnsi="Times New Roman"/>
          <w:sz w:val="24"/>
          <w:vertAlign w:val="superscript"/>
        </w:rPr>
        <w:t xml:space="preserve">[196]</w:t>
      </w:r>
      <w:r>
        <w:rPr>
          <w:rFonts w:ascii="Times New Roman" w:eastAsia="SimSun" w:hAnsi="Times New Roman"/>
          <w:sz w:val="24"/>
        </w:rPr>
        <w:t xml:space="preserve">。13张人工验证图的14个框置信度为0.670—0.930，但无漏检记录和逐图真值，不能估计召回率。</w:t>
      </w:r>
    </w:p>
    <w:p>
      <w:pPr>
        <w:keepNext/>
        <w:spacing w:before="120" w:after="60"/>
        <w:jc w:val="center"/>
      </w:pPr>
      <w:r>
        <w:rPr>
          <w:noProof/>
          <w:lang w:eastAsia="zh-CN"/>
        </w:rPr>
        <w:drawing>
          <wp:inline distT="0" distB="0" distL="0" distR="0">
            <wp:extent cx="5577840" cy="2085421"/>
            <wp:effectExtent l="0" t="0" r="0" b="0"/>
            <wp:docPr id="2" name="图片 2" descr="图5.2  现场候选置信度、误报原因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5_2_inspection_status.png"/>
                    <pic:cNvPicPr/>
                  </pic:nvPicPr>
                  <pic:blipFill>
                    <a:blip r:embed="rId101"/>
                    <a:stretch>
                      <a:fillRect/>
                    </a:stretch>
                  </pic:blipFill>
                  <pic:spPr>
                    <a:xfrm>
                      <a:off x="0" y="0"/>
                      <a:ext cx="5577840" cy="2085421"/>
                    </a:xfrm>
                    <a:prstGeom prst="rect">
                      <a:avLst/>
                    </a:prstGeom>
                  </pic:spPr>
                </pic:pic>
              </a:graphicData>
            </a:graphic>
          </wp:inline>
        </w:drawing>
      </w:r>
    </w:p>
    <w:p>
      <w:pPr>
        <w:spacing w:after="120"/>
        <w:jc w:val="center"/>
      </w:pPr>
      <w:r>
        <w:rPr>
          <w:rFonts w:ascii="Times New Roman" w:eastAsia="SimSun" w:hAnsi="Times New Roman"/>
          <w:sz w:val="21"/>
        </w:rPr>
        <w:t xml:space="preserve">图5.2  现场候选置信度、误报原因与图像采集时刻</w:t>
      </w:r>
    </w:p>
    <w:p>
      <w:pPr>
        <w:spacing w:after="0" w:line="360" w:lineRule="auto"/>
        <w:ind w:firstLine="480"/>
        <w:jc w:val="both"/>
      </w:pPr>
      <w:r>
        <w:rPr>
          <w:rFonts w:ascii="Times New Roman" w:eastAsia="SimSun" w:hAnsi="Times New Roman"/>
          <w:sz w:val="24"/>
        </w:rPr>
        <w:t xml:space="preserve">图5.2b显示全部图像采集于白天，73%集中在09时，与第2章推荐的夜间时段不符；日照下水体升温慢、植被与阴影使地表偏冷，形态与渗水冷区相近，与复核意见一致。因此现场候选只能生成复核任务而不能直接写入C3，其余105张未检出候选的图像也只能保持“无真值”状态，不能计为“已检查无异常”。</w:t>
      </w:r>
    </w:p>
    <w:p>
      <w:pPr>
        <w:keepNext/>
        <w:spacing w:before="240" w:after="120" w:line="360" w:lineRule="auto"/>
      </w:pPr>
      <w:r>
        <w:rPr>
          <w:rFonts w:ascii="Times New Roman" w:eastAsia="SimHei" w:hAnsi="Times New Roman"/>
          <w:b/>
          <w:sz w:val="24"/>
        </w:rPr>
        <w:t xml:space="preserve">5.4  病害检测结果的空间配准与孪生场景挂载</w:t>
      </w:r>
    </w:p>
    <w:p>
      <w:pPr>
        <w:keepNext/>
        <w:spacing w:before="120" w:after="120" w:line="360" w:lineRule="auto"/>
      </w:pPr>
      <w:r>
        <w:rPr>
          <w:rFonts w:ascii="Times New Roman" w:eastAsia="SimHei" w:hAnsi="Times New Roman"/>
          <w:b/>
          <w:sz w:val="24"/>
        </w:rPr>
        <w:t xml:space="preserve">5.4.1  从影像位置到堤轴桩号区间</w:t>
      </w:r>
    </w:p>
    <w:p>
      <w:pPr>
        <w:spacing w:after="0" w:line="360" w:lineRule="auto"/>
        <w:ind w:firstLine="480"/>
        <w:jc w:val="both"/>
      </w:pPr>
      <w:r>
        <w:rPr>
          <w:rFonts w:ascii="Times New Roman" w:eastAsia="SimSun" w:hAnsi="Times New Roman"/>
          <w:sz w:val="24"/>
        </w:rPr>
        <w:t xml:space="preserve">图像GPS是机位而非病害位置。候选落到评价单元需三步：WGS84坐标转为与第3章地质输入一致的工程平面坐标；依据飞行高度、云台姿态和DEM把检测框投影为地面足迹 </w:t>
      </w:r>
      <w:r>
        <w:rPr>
          <w:rFonts w:ascii="Times New Roman" w:eastAsia="SimSun" w:hAnsi="Times New Roman"/>
          <w:i/>
          <w:sz w:val="24"/>
        </w:rPr>
        <w:t xml:space="preserve">F</w:t>
      </w:r>
      <w:r>
        <w:rPr>
          <w:rFonts w:ascii="Times New Roman" w:eastAsia="SimSun" w:hAnsi="Times New Roman"/>
          <w:sz w:val="24"/>
        </w:rPr>
        <w:t xml:space="preserve">；再向几何版本 </w:t>
      </w:r>
      <w:r>
        <w:rPr>
          <w:rFonts w:ascii="Times New Roman" w:eastAsia="SimSun" w:hAnsi="Times New Roman"/>
          <w:i/>
          <w:sz w:val="24"/>
        </w:rPr>
        <w:t xml:space="preserve">g</w:t>
      </w:r>
      <w:r>
        <w:rPr>
          <w:rFonts w:ascii="Times New Roman" w:eastAsia="SimSun" w:hAnsi="Times New Roman"/>
          <w:sz w:val="24"/>
        </w:rPr>
        <w:t xml:space="preserve"> 的堤轴参考线投影，得到桩号区间</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Π</w:t>
      </w:r>
      <w:r>
        <w:rPr>
          <w:rFonts w:ascii="Times New Roman" w:eastAsia="SimSun" w:hAnsi="Times New Roman"/>
          <w:i/>
          <w:sz w:val="24"/>
          <w:vertAlign w:val="subscript"/>
        </w:rPr>
        <w:t xml:space="preserve">g</w:t>
      </w:r>
      <w:r>
        <w:rPr>
          <w:rFonts w:ascii="Times New Roman" w:eastAsia="SimSun" w:hAnsi="Times New Roman"/>
          <w:sz w:val="24"/>
        </w:rPr>
        <w:t xml:space="preserve">(</w:t>
      </w:r>
      <w:r>
        <w:rPr>
          <w:rFonts w:ascii="Times New Roman" w:eastAsia="SimSun" w:hAnsi="Times New Roman"/>
          <w:i/>
          <w:sz w:val="24"/>
        </w:rPr>
        <w:t xml:space="preserve">F</w:t>
      </w:r>
      <w:r>
        <w:rPr>
          <w:rFonts w:ascii="Times New Roman" w:eastAsia="SimSun" w:hAnsi="Times New Roman"/>
          <w:sz w:val="24"/>
        </w:rPr>
        <w:t xml:space="preserve">)</w:t>
      </w:r>
      <w:r>
        <w:rPr>
          <w:rFonts w:ascii="Cambria Math" w:eastAsia="Cambria Math" w:hAnsi="Cambria Math"/>
          <w:sz w:val="24"/>
        </w:rPr>
        <w:t xml:space="preserve"> ⊕ </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δ</w:t>
      </w:r>
      <w:r>
        <w:rPr>
          <w:rFonts w:ascii="Times New Roman" w:eastAsia="SimSun" w:hAnsi="Times New Roman"/>
          <w:sz w:val="24"/>
        </w:rPr>
        <w:t xml:space="preserve">, </w:t>
      </w:r>
      <w:r>
        <w:rPr>
          <w:rFonts w:ascii="Times New Roman" w:eastAsia="SimSun" w:hAnsi="Times New Roman"/>
          <w:i/>
          <w:sz w:val="24"/>
        </w:rPr>
        <w:t xml:space="preserve">δ</w:t>
      </w:r>
      <w:r>
        <w:rPr>
          <w:rFonts w:ascii="Times New Roman" w:eastAsia="SimSun" w:hAnsi="Times New Roman"/>
          <w:sz w:val="24"/>
        </w:rPr>
        <w:t xml:space="preserve">]</w:t>
      </w:r>
      <w:r>
        <w:rPr>
          <w:rFonts w:ascii="Times New Roman" w:eastAsia="SimSun" w:hAnsi="Times New Roman"/>
          <w:sz w:val="24"/>
        </w:rPr>
        <w:t xml:space="preserve"/>
        <w:tab/>
        <w:t xml:space="preserve">(5-3)</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δ</w:t>
      </w:r>
      <w:r>
        <w:rPr>
          <w:rFonts w:ascii="Times New Roman" w:eastAsia="SimSun" w:hAnsi="Times New Roman"/>
          <w:sz w:val="24"/>
        </w:rPr>
        <w:t xml:space="preserve"> 为定位误差，无误差估计时不得取零宽度区间。交付模型原把渗漏点匹配到最近代表桩号（最大250 m），会把跨界候选误归入唯一断面。本批资料有机位GPS和新提交的500×500 DEM，但缺少云台姿态与堤轴几何版本，目前只能形成候选桩号区间。</w:t>
      </w:r>
    </w:p>
    <w:p>
      <w:pPr>
        <w:keepNext/>
        <w:spacing w:before="120" w:after="120" w:line="360" w:lineRule="auto"/>
      </w:pPr>
      <w:r>
        <w:rPr>
          <w:rFonts w:ascii="Times New Roman" w:eastAsia="SimHei" w:hAnsi="Times New Roman"/>
          <w:b/>
          <w:sz w:val="24"/>
        </w:rPr>
        <w:t xml:space="preserve">5.4.2  时空关联与历史快照规则</w:t>
      </w:r>
    </w:p>
    <w:p>
      <w:pPr>
        <w:spacing w:after="0" w:line="360" w:lineRule="auto"/>
        <w:ind w:firstLine="480"/>
        <w:jc w:val="both"/>
      </w:pPr>
      <w:r>
        <w:rPr>
          <w:rFonts w:ascii="Times New Roman" w:eastAsia="SimSun" w:hAnsi="Times New Roman"/>
          <w:sz w:val="24"/>
        </w:rPr>
        <w:t xml:space="preserve">候选事件 </w:t>
      </w:r>
      <w:r>
        <w:rPr>
          <w:rFonts w:ascii="Times New Roman" w:eastAsia="SimSun" w:hAnsi="Times New Roman"/>
          <w:i/>
          <w:sz w:val="24"/>
        </w:rPr>
        <w:t xml:space="preserve">e</w:t>
      </w:r>
      <w:r>
        <w:rPr>
          <w:rFonts w:ascii="Times New Roman" w:eastAsia="SimSun" w:hAnsi="Times New Roman"/>
          <w:sz w:val="24"/>
        </w:rPr>
        <w:t xml:space="preserve"> 与单元 </w:t>
      </w:r>
      <w:r>
        <w:rPr>
          <w:rFonts w:ascii="Times New Roman" w:eastAsia="SimSun" w:hAnsi="Times New Roman"/>
          <w:i/>
          <w:sz w:val="24"/>
        </w:rPr>
        <w:t xml:space="preserve">u</w:t>
      </w:r>
      <w:r>
        <w:rPr>
          <w:rFonts w:ascii="Times New Roman" w:eastAsia="SimSun" w:hAnsi="Times New Roman"/>
          <w:sz w:val="24"/>
        </w:rPr>
        <w:t xml:space="preserve"> 的关联采用闭区间求交：</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U</w:t>
      </w:r>
      <w:r>
        <w:rPr>
          <w:rFonts w:ascii="Times New Roman" w:eastAsia="SimSun" w:hAnsi="Times New Roman"/>
          <w:sz w:val="24"/>
        </w:rPr>
        <w:t xml:space="preserve">(</w:t>
      </w:r>
      <w:r>
        <w:rPr>
          <w:rFonts w:ascii="Times New Roman" w:eastAsia="SimSun" w:hAnsi="Times New Roman"/>
          <w:i/>
          <w:sz w:val="24"/>
        </w:rPr>
        <w:t xml:space="preserve">e</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u</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e</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i/>
          <w:sz w:val="24"/>
          <w:vertAlign w:val="subscript"/>
        </w:rPr>
        <w:t xml:space="preserve">e</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Cambria Math" w:eastAsia="Cambria Math" w:hAnsi="Cambria Math"/>
          <w:sz w:val="24"/>
        </w:rPr>
        <w:t xml:space="preserve">∩</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u</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i/>
          <w:sz w:val="24"/>
          <w:vertAlign w:val="subscript"/>
        </w:rPr>
        <w:t xml:space="preserve">u</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 </w:t>
      </w:r>
      <w:r>
        <w:rPr>
          <w:rFonts w:ascii="Cambria Math" w:eastAsia="Cambria Math" w:hAnsi="Cambria Math"/>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g</w:t>
      </w:r>
      <w:r>
        <w:rPr>
          <w:rFonts w:ascii="Times New Roman" w:eastAsia="SimSun" w:hAnsi="Times New Roman"/>
          <w:i/>
          <w:sz w:val="24"/>
          <w:vertAlign w:val="subscript"/>
        </w:rPr>
        <w:t xml:space="preserve">e</w:t>
      </w:r>
      <w:r>
        <w:rPr>
          <w:rFonts w:ascii="Times New Roman" w:eastAsia="SimSun" w:hAnsi="Times New Roman"/>
          <w:sz w:val="24"/>
        </w:rPr>
        <w:t xml:space="preserve"> = </w:t>
      </w:r>
      <w:r>
        <w:rPr>
          <w:rFonts w:ascii="Times New Roman" w:eastAsia="SimSun" w:hAnsi="Times New Roman"/>
          <w:i/>
          <w:sz w:val="24"/>
        </w:rPr>
        <w:t xml:space="preserve">g</w:t>
      </w:r>
      <w:r>
        <w:rPr>
          <w:rFonts w:ascii="Times New Roman" w:eastAsia="SimSun" w:hAnsi="Times New Roman"/>
          <w:i/>
          <w:sz w:val="24"/>
          <w:vertAlign w:val="subscript"/>
        </w:rPr>
        <w:t xml:space="preserve">u</w:t>
      </w:r>
      <w:r>
        <w:rPr>
          <w:rFonts w:ascii="Times New Roman" w:eastAsia="SimSun" w:hAnsi="Times New Roman"/>
          <w:sz w:val="24"/>
        </w:rPr>
        <w:t xml:space="preserve">}</w:t>
      </w:r>
      <w:r>
        <w:rPr>
          <w:rFonts w:ascii="Times New Roman" w:eastAsia="SimSun" w:hAnsi="Times New Roman"/>
          <w:sz w:val="24"/>
        </w:rPr>
        <w:t xml:space="preserve"/>
        <w:tab/>
        <w:t xml:space="preserve">(5-4)</w:t>
      </w:r>
    </w:p>
    <w:p>
      <w:pPr>
        <w:spacing w:after="0" w:line="360" w:lineRule="auto"/>
        <w:ind w:firstLine="480"/>
        <w:jc w:val="both"/>
      </w:pPr>
      <w:r>
        <w:rPr>
          <w:rFonts w:ascii="Times New Roman" w:eastAsia="SimSun" w:hAnsi="Times New Roman"/>
          <w:sz w:val="24"/>
        </w:rPr>
        <w:t xml:space="preserve">跨界或部分出界的区间同时关联多个单元并保留歧义；工况有效窗取左闭右开；历史快照只使用截至快照时刻已入库的数据。输出分为唯一候选、空间歧义、工况歧义、无可用工况、单元外和参考线不一致六种状态，同一event_id的重复记录去重、冲突记录拒绝。原型回放中，跨越单元分界的确认观测于10:15采集、10:40入库，10:30快照输出G0，11:00快照中两单元共享该观测并输出G0—G3待定，而非同时施加确定的最高等级（G0—G3为原型示例标签）。原型69项测试（其中关联10项）在当前环境复核通过，检验的是实现行为而非定位精度。</w:t>
      </w:r>
    </w:p>
    <w:p>
      <w:pPr>
        <w:keepNext/>
        <w:spacing w:before="120" w:after="120" w:line="360" w:lineRule="auto"/>
      </w:pPr>
      <w:r>
        <w:rPr>
          <w:rFonts w:ascii="Times New Roman" w:eastAsia="SimHei" w:hAnsi="Times New Roman"/>
          <w:b/>
          <w:sz w:val="24"/>
        </w:rPr>
        <w:t xml:space="preserve">5.4.3  孪生场景挂载与事件生命周期</w:t>
      </w:r>
    </w:p>
    <w:p>
      <w:pPr>
        <w:spacing w:after="0" w:line="360" w:lineRule="auto"/>
        <w:ind w:firstLine="480"/>
        <w:jc w:val="both"/>
      </w:pPr>
      <w:r>
        <w:rPr>
          <w:rFonts w:ascii="Times New Roman" w:eastAsia="SimSun" w:hAnsi="Times New Roman"/>
          <w:sz w:val="24"/>
        </w:rPr>
        <w:t xml:space="preserve">挂载到孪生场景的是事件实体而非图像坐标，每个事件保存event_id、几何版本、桩号区间、采集与入库时间、事件类型（疑似、确认、解除）、空间确定性和复核记录编号；候选以空心符号、空间确定的确认事件以实心符号显示，只能定位到险情段的以区间高亮。复核、修订与解除均追加新记录而不覆盖原观测，确认事件持续有效直到出现指向原事件且空间确定的解除记录。第6章平台按这些字段实现事件图层联动。</w:t>
      </w:r>
    </w:p>
    <w:p>
      <w:pPr>
        <w:keepNext/>
        <w:spacing w:before="240" w:after="120" w:line="360" w:lineRule="auto"/>
      </w:pPr>
      <w:r>
        <w:rPr>
          <w:rFonts w:ascii="Times New Roman" w:eastAsia="SimHei" w:hAnsi="Times New Roman"/>
          <w:b/>
          <w:sz w:val="24"/>
        </w:rPr>
        <w:t xml:space="preserve">5.5  巡检病害指标量化及其与渗流计算结果的融合</w:t>
      </w:r>
    </w:p>
    <w:p>
      <w:pPr>
        <w:keepNext/>
        <w:spacing w:before="120" w:after="120" w:line="360" w:lineRule="auto"/>
      </w:pPr>
      <w:r>
        <w:rPr>
          <w:rFonts w:ascii="Times New Roman" w:eastAsia="SimHei" w:hAnsi="Times New Roman"/>
          <w:b/>
          <w:sz w:val="24"/>
        </w:rPr>
        <w:t xml:space="preserve">5.5.1  渗流机理指标的提取与赋分</w:t>
      </w:r>
    </w:p>
    <w:p>
      <w:pPr>
        <w:spacing w:after="0" w:line="360" w:lineRule="auto"/>
        <w:ind w:firstLine="480"/>
        <w:jc w:val="both"/>
      </w:pPr>
      <w:r>
        <w:rPr>
          <w:rFonts w:ascii="Times New Roman" w:eastAsia="SimSun" w:hAnsi="Times New Roman"/>
          <w:sz w:val="24"/>
        </w:rPr>
        <w:t xml:space="preserve">渗流类指标采用Terzaghi临界水力梯度</w:t>
      </w:r>
      <w:r>
        <w:rPr>
          <w:rFonts w:ascii="Times New Roman" w:eastAsia="SimSun" w:hAnsi="Times New Roman"/>
          <w:sz w:val="24"/>
          <w:vertAlign w:val="superscript"/>
        </w:rPr>
        <w:t xml:space="preserve">[197]</w:t>
      </w:r>
      <w:r>
        <w:rPr>
          <w:rFonts w:ascii="Times New Roman" w:eastAsia="SimSun" w:hAnsi="Times New Roman"/>
          <w:sz w:val="24"/>
        </w:rPr>
        <w:t xml:space="preserve"> </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e</w:t>
      </w:r>
      <w:r>
        <w:rPr>
          <w:rFonts w:ascii="Times New Roman" w:eastAsia="SimSun" w:hAnsi="Times New Roman"/>
          <w:sz w:val="24"/>
        </w:rPr>
        <w:t xml:space="preserve">)</w:t>
      </w:r>
      <w:r>
        <w:rPr>
          <w:rFonts w:ascii="Times New Roman" w:eastAsia="SimSun" w:hAnsi="Times New Roman"/>
          <w:sz w:val="24"/>
        </w:rPr>
        <w:t xml:space="preserve">（与式（2-7）同义，以孔隙比表示），风险比与评分为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i/>
          <w:sz w:val="24"/>
        </w:rPr>
        <w:t xml:space="preserve">i</w:t>
      </w:r>
      <w:r>
        <w:rPr>
          <w:rFonts w:ascii="Times New Roman" w:eastAsia="SimSun" w:hAnsi="Times New Roman"/>
          <w:sz w:val="24"/>
        </w:rPr>
        <w:t xml:space="preserve">/</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
        <w:tab/>
        <w:t xml:space="preserve">(5-5)</w:t>
      </w:r>
    </w:p>
    <w:p>
      <w:pPr>
        <w:spacing w:after="0" w:line="360" w:lineRule="auto"/>
        <w:ind w:firstLine="480"/>
        <w:jc w:val="both"/>
      </w:pPr>
      <w:r>
        <w:rPr>
          <w:rFonts w:ascii="Times New Roman" w:eastAsia="SimSun" w:hAnsi="Times New Roman"/>
          <w:sz w:val="24"/>
        </w:rPr>
        <w:t xml:space="preserve">C1、C4、C5分别对应堤基、堤身和接触带，</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分别触发B级与C级门控；D1、D2以允许值1.35、1.25和极限值1.0分段评分</w:t>
      </w:r>
      <w:r>
        <w:rPr>
          <w:rFonts w:ascii="Times New Roman" w:eastAsia="SimSun" w:hAnsi="Times New Roman"/>
          <w:sz w:val="24"/>
          <w:vertAlign w:val="superscript"/>
        </w:rPr>
        <w:t xml:space="preserve">[137]</w:t>
      </w:r>
      <w:r>
        <w:rPr>
          <w:rFonts w:ascii="Times New Roman" w:eastAsia="SimSun" w:hAnsi="Times New Roman"/>
          <w:sz w:val="24"/>
        </w:rPr>
        <w:t xml:space="preserve">。从第4章渗流场提取时，出口指标取出流边界法向坡降 </w:t>
      </w:r>
      <w:r>
        <w:rPr>
          <w:rFonts w:ascii="Times New Roman" w:eastAsia="SimSun" w:hAnsi="Times New Roman"/>
          <w:i/>
          <w:sz w:val="24"/>
        </w:rPr>
        <w:t xml:space="preserve">i</w:t>
      </w:r>
      <w:r>
        <w:rPr>
          <w:rFonts w:ascii="Times New Roman" w:eastAsia="SimSun" w:hAnsi="Times New Roman"/>
          <w:i/>
          <w:sz w:val="24"/>
          <w:vertAlign w:val="subscript"/>
        </w:rPr>
        <w:t xml:space="preserve">n</w:t>
      </w:r>
      <w:r>
        <w:rPr>
          <w:rFonts w:ascii="Times New Roman" w:eastAsia="SimSun" w:hAnsi="Times New Roman"/>
          <w:sz w:val="24"/>
        </w:rPr>
        <w:t xml:space="preserve"> = </w:t>
      </w:r>
      <w:r>
        <w:rPr>
          <w:rFonts w:ascii="Times New Roman" w:eastAsia="SimSun" w:hAnsi="Times New Roman"/>
          <w:sz w:val="24"/>
        </w:rPr>
        <w:t xml:space="preserve">−</w:t>
      </w:r>
      <w:r>
        <w:rPr>
          <w:rFonts w:ascii="Cambria Math" w:eastAsia="Cambria Math" w:hAnsi="Cambria Math"/>
          <w:sz w:val="24"/>
        </w:rPr>
        <w:t xml:space="preserve">∇</w:t>
      </w:r>
      <w:r>
        <w:rPr>
          <w:rFonts w:ascii="Times New Roman" w:eastAsia="SimSun" w:hAnsi="Times New Roman"/>
          <w:i/>
          <w:sz w:val="24"/>
        </w:rPr>
        <w:t xml:space="preserve">H</w:t>
      </w:r>
      <w:r>
        <w:rPr>
          <w:rFonts w:ascii="Times New Roman" w:eastAsia="SimSun" w:hAnsi="Times New Roman"/>
          <w:sz w:val="24"/>
        </w:rPr>
        <w:t xml:space="preserve">·</w:t>
      </w:r>
      <w:r>
        <w:rPr>
          <w:rFonts w:ascii="Times New Roman" w:eastAsia="SimSun" w:hAnsi="Times New Roman"/>
          <w:b/>
          <w:i/>
          <w:sz w:val="24"/>
        </w:rPr>
        <w:t xml:space="preserve">n</w:t>
      </w:r>
      <w:r>
        <w:rPr>
          <w:rFonts w:ascii="Times New Roman" w:eastAsia="SimSun" w:hAnsi="Times New Roman"/>
          <w:sz w:val="24"/>
        </w:rPr>
        <w:t xml:space="preserve"> 而不以全场最大梯度代替，保留峰值单元、材料、位置与模型版本，界面两侧不跨材料平均，并做网格敏感性比较；原型后处理已通过解析场检验，但这不代表求解器或真实堤防已验证。</w:t>
      </w:r>
    </w:p>
    <w:p>
      <w:pPr>
        <w:keepNext/>
        <w:spacing w:before="120" w:after="120" w:line="360" w:lineRule="auto"/>
      </w:pPr>
      <w:r>
        <w:rPr>
          <w:rFonts w:ascii="Times New Roman" w:eastAsia="SimHei" w:hAnsi="Times New Roman"/>
          <w:b/>
          <w:sz w:val="24"/>
        </w:rPr>
        <w:t xml:space="preserve">5.5.2  管涌与渗漏观测指标C3的量化</w:t>
      </w:r>
    </w:p>
    <w:p>
      <w:pPr>
        <w:spacing w:after="0" w:line="360" w:lineRule="auto"/>
        <w:ind w:firstLine="480"/>
        <w:jc w:val="both"/>
      </w:pPr>
      <w:r>
        <w:rPr>
          <w:rFonts w:ascii="Times New Roman" w:eastAsia="SimSun" w:hAnsi="Times New Roman"/>
          <w:sz w:val="24"/>
        </w:rPr>
        <w:t xml:space="preserve">无人机只提供点状观测，作为C3“管涌与渗漏观测证据”的来源之一。评价段长 </w:t>
      </w:r>
      <w:r>
        <w:rPr>
          <w:rFonts w:ascii="Times New Roman" w:eastAsia="SimSun" w:hAnsi="Times New Roman"/>
          <w:i/>
          <w:sz w:val="24"/>
        </w:rPr>
        <w:t xml:space="preserve">L</w:t>
      </w:r>
      <w:r>
        <w:rPr>
          <w:rFonts w:ascii="Times New Roman" w:eastAsia="SimSun" w:hAnsi="Times New Roman"/>
          <w:sz w:val="24"/>
        </w:rPr>
        <w:t xml:space="preserve"> 上的加权渗漏点密度为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D</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i/>
          <w:sz w:val="24"/>
        </w:rPr>
        <w:t xml:space="preserve">w</w:t>
      </w:r>
      <w:r>
        <w:rPr>
          <w:rFonts w:ascii="Times New Roman" w:eastAsia="SimSun" w:hAnsi="Times New Roman"/>
          <w:i/>
          <w:sz w:val="24"/>
          <w:vertAlign w:val="subscript"/>
        </w:rPr>
        <w:t xml:space="preserve">k</w:t>
      </w:r>
      <w:r>
        <w:rPr>
          <w:rFonts w:ascii="Times New Roman" w:eastAsia="SimSun" w:hAnsi="Times New Roman"/>
          <w:i/>
          <w:sz w:val="24"/>
        </w:rPr>
        <w:t xml:space="preserve">r</w:t>
      </w:r>
      <w:r>
        <w:rPr>
          <w:rFonts w:ascii="Times New Roman" w:eastAsia="SimSun" w:hAnsi="Times New Roman"/>
          <w:i/>
          <w:sz w:val="24"/>
          <w:vertAlign w:val="subscript"/>
        </w:rPr>
        <w:t xml:space="preserve">k</w:t>
      </w:r>
      <w:r>
        <w:rPr>
          <w:rFonts w:ascii="Times New Roman" w:eastAsia="SimSun" w:hAnsi="Times New Roman"/>
          <w:sz w:val="24"/>
        </w:rPr>
        <w:t xml:space="preserve">/</w:t>
      </w:r>
      <w:r>
        <w:rPr>
          <w:rFonts w:ascii="Times New Roman" w:eastAsia="SimSun" w:hAnsi="Times New Roman"/>
          <w:i/>
          <w:sz w:val="24"/>
        </w:rPr>
        <w:t xml:space="preserve">L</w:t>
      </w:r>
      <w:r>
        <w:rPr>
          <w:rFonts w:ascii="Times New Roman" w:eastAsia="SimSun" w:hAnsi="Times New Roman"/>
          <w:sz w:val="24"/>
        </w:rPr>
        <w:t xml:space="preserve"/>
        <w:tab/>
        <w:t xml:space="preserve">(5-6)</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为证据权重；位置权重 </w:t>
      </w:r>
      <w:r>
        <w:rPr>
          <w:rFonts w:ascii="Times New Roman" w:eastAsia="SimSun" w:hAnsi="Times New Roman"/>
          <w:i/>
          <w:sz w:val="24"/>
        </w:rPr>
        <w:t xml:space="preserve">w</w:t>
      </w:r>
      <w:r>
        <w:rPr>
          <w:rFonts w:ascii="Times New Roman" w:eastAsia="SimSun" w:hAnsi="Times New Roman"/>
          <w:i/>
          <w:sz w:val="24"/>
          <w:vertAlign w:val="subscript"/>
        </w:rPr>
        <w:t xml:space="preserve">k</w:t>
      </w:r>
      <w:r>
        <w:rPr>
          <w:rFonts w:ascii="Times New Roman" w:eastAsia="SimSun" w:hAnsi="Times New Roman"/>
          <w:sz w:val="24"/>
        </w:rPr>
        <w:t xml:space="preserve"> 对普通堤身取1.0、堤脚1.2、穿堤建筑物附近1.3、结合部或历史险情附近1.5；重复权重 </w:t>
      </w:r>
      <w:r>
        <w:rPr>
          <w:rFonts w:ascii="Times New Roman" w:eastAsia="SimSun" w:hAnsi="Times New Roman"/>
          <w:i/>
          <w:sz w:val="24"/>
        </w:rPr>
        <w:t xml:space="preserve">r</w:t>
      </w:r>
      <w:r>
        <w:rPr>
          <w:rFonts w:ascii="Times New Roman" w:eastAsia="SimSun" w:hAnsi="Times New Roman"/>
          <w:i/>
          <w:sz w:val="24"/>
          <w:vertAlign w:val="subscript"/>
        </w:rPr>
        <w:t xml:space="preserve">k</w:t>
      </w:r>
      <w:r>
        <w:rPr>
          <w:rFonts w:ascii="Times New Roman" w:eastAsia="SimSun" w:hAnsi="Times New Roman"/>
          <w:sz w:val="24"/>
        </w:rPr>
        <w:t xml:space="preserve"> 对1次、2次、3次及以上取1.0、1.2、1.5。C3按 </w:t>
      </w:r>
      <w:r>
        <w:rPr>
          <w:rFonts w:ascii="Times New Roman" w:eastAsia="SimSun" w:hAnsi="Times New Roman"/>
          <w:i/>
          <w:sz w:val="24"/>
        </w:rPr>
        <w:t xml:space="preserve">D</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 </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&gt; </w:t>
      </w:r>
      <w:r>
        <w:rPr>
          <w:rFonts w:ascii="Times New Roman" w:eastAsia="SimSun" w:hAnsi="Times New Roman"/>
          <w:sz w:val="24"/>
        </w:rPr>
        <w:t xml:space="preserve">4</w:t>
      </w:r>
      <w:r>
        <w:rPr>
          <w:rFonts w:ascii="Times New Roman" w:eastAsia="SimSun" w:hAnsi="Times New Roman"/>
          <w:sz w:val="24"/>
        </w:rPr>
        <w:t xml:space="preserve"> 点/100 m分别赋100、80、60、40、0分。观测门控规定：带砂、浑水、冒水或集中成簇，重复3次以上或 </w:t>
      </w:r>
      <w:r>
        <w:rPr>
          <w:rFonts w:ascii="Times New Roman" w:eastAsia="SimSun" w:hAnsi="Times New Roman"/>
          <w:i/>
          <w:sz w:val="24"/>
        </w:rPr>
        <w:t xml:space="preserve">D</w:t>
      </w:r>
      <w:r>
        <w:rPr>
          <w:rFonts w:ascii="Times New Roman" w:eastAsia="SimSun" w:hAnsi="Times New Roman"/>
          <w:sz w:val="24"/>
        </w:rPr>
        <w:t xml:space="preserve"> &gt; </w:t>
      </w:r>
      <w:r>
        <w:rPr>
          <w:rFonts w:ascii="Times New Roman" w:eastAsia="SimSun" w:hAnsi="Times New Roman"/>
          <w:sz w:val="24"/>
        </w:rPr>
        <w:t xml:space="preserve">3</w:t>
      </w:r>
      <w:r>
        <w:rPr>
          <w:rFonts w:ascii="Times New Roman" w:eastAsia="SimSun" w:hAnsi="Times New Roman"/>
          <w:sz w:val="24"/>
        </w:rPr>
        <w:t xml:space="preserve"> 时等级不优于C；位于敏感部位、2点以上、重复2次或 </w:t>
      </w:r>
      <w:r>
        <w:rPr>
          <w:rFonts w:ascii="Times New Roman" w:eastAsia="SimSun" w:hAnsi="Times New Roman"/>
          <w:i/>
          <w:sz w:val="24"/>
        </w:rPr>
        <w:t xml:space="preserve">D</w:t>
      </w:r>
      <w:r>
        <w:rPr>
          <w:rFonts w:ascii="Times New Roman" w:eastAsia="SimSun" w:hAnsi="Times New Roman"/>
          <w:sz w:val="24"/>
        </w:rPr>
        <w:t xml:space="preserve"> &gt; </w:t>
      </w:r>
      <w:r>
        <w:rPr>
          <w:rFonts w:ascii="Times New Roman" w:eastAsia="SimSun" w:hAnsi="Times New Roman"/>
          <w:sz w:val="24"/>
        </w:rPr>
        <w:t xml:space="preserve">1</w:t>
      </w:r>
      <w:r>
        <w:rPr>
          <w:rFonts w:ascii="Times New Roman" w:eastAsia="SimSun" w:hAnsi="Times New Roman"/>
          <w:sz w:val="24"/>
        </w:rPr>
        <w:t xml:space="preserve"> 时不优于B。交付模型中 </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取检测置信度（未确认点默认0.6），未复核的候选也会降低C3并可能触发门控。本章作三处修正：只有可采纳的确认事件进入式（5-6）且 </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D</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 赋100分以巡检覆盖完整为前提，否则C3为缺失；历史险情作为带时间的历史状态，由解除记录而非时间流逝决定其是否仍约束当前等级。</w:t>
      </w:r>
    </w:p>
    <w:p>
      <w:pPr>
        <w:keepNext/>
        <w:spacing w:before="120" w:after="120" w:line="360" w:lineRule="auto"/>
      </w:pPr>
      <w:r>
        <w:rPr>
          <w:rFonts w:ascii="Times New Roman" w:eastAsia="SimHei" w:hAnsi="Times New Roman"/>
          <w:b/>
          <w:sz w:val="24"/>
        </w:rPr>
        <w:t xml:space="preserve">5.5.3  机理—观测证据融合与冲突处理</w:t>
      </w:r>
    </w:p>
    <w:p>
      <w:pPr>
        <w:spacing w:after="0" w:line="360" w:lineRule="auto"/>
        <w:ind w:firstLine="480"/>
        <w:jc w:val="both"/>
      </w:pPr>
      <w:r>
        <w:rPr>
          <w:rFonts w:ascii="Times New Roman" w:eastAsia="SimSun" w:hAnsi="Times New Roman"/>
          <w:sz w:val="24"/>
        </w:rPr>
        <w:t xml:space="preserve">渗流计算与巡检观测在三处汇合：C3经关联强度进入渗流破坏模式，观测门控限制综合等级，物理硬门控对C1、C4、C5施加不可补偿的约束。输入不确定或缺失时采用区间传播，物理比值跨越阈值时区分确定触发与可能触发，等级以范围输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max</w:t>
      </w:r>
      <w:r>
        <w:rPr>
          <w:rFonts w:ascii="Times New Roman" w:eastAsia="SimSun" w:hAnsi="Times New Roman"/>
          <w:i/>
          <w:sz w:val="24"/>
          <w:vertAlign w:val="subscript"/>
        </w:rPr>
        <w:t xml:space="preserve">m</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cert</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max</w:t>
      </w:r>
      <w:r>
        <w:rPr>
          <w:rFonts w:ascii="Times New Roman" w:eastAsia="SimSun" w:hAnsi="Times New Roman"/>
          <w:i/>
          <w:sz w:val="24"/>
          <w:vertAlign w:val="subscript"/>
        </w:rPr>
        <w:t xml:space="preserve">m</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poss</w:t>
      </w:r>
      <w:r>
        <w:rPr>
          <w:rFonts w:ascii="Times New Roman" w:eastAsia="SimSun" w:hAnsi="Times New Roman"/>
          <w:sz w:val="24"/>
        </w:rPr>
        <w:t xml:space="preserve">)</w:t>
      </w:r>
      <w:r>
        <w:rPr>
          <w:rFonts w:ascii="Times New Roman" w:eastAsia="SimSun" w:hAnsi="Times New Roman"/>
          <w:sz w:val="24"/>
        </w:rPr>
        <w:t xml:space="preserve"/>
        <w:tab/>
        <w:t xml:space="preserve">(5-7)</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为风险指数包络，</w:t>
      </w:r>
      <w:r>
        <w:rPr>
          <w:rFonts w:ascii="Times New Roman" w:eastAsia="SimSun" w:hAnsi="Times New Roman"/>
          <w:i/>
          <w:sz w:val="24"/>
        </w:rPr>
        <w:t xml:space="preserve">G</w:t>
      </w:r>
      <w:r>
        <w:rPr>
          <w:rFonts w:ascii="Times New Roman" w:eastAsia="SimSun" w:hAnsi="Times New Roman"/>
          <w:sz w:val="24"/>
        </w:rPr>
        <w:t xml:space="preserve"> 为单调分级函数，</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cert</w:t>
      </w:r>
      <w:r>
        <w:rPr>
          <w:rFonts w:ascii="Times New Roman" w:eastAsia="SimSun" w:hAnsi="Times New Roman"/>
          <w:sz w:val="24"/>
        </w:rPr>
        <w:t xml:space="preserve">、</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poss</w:t>
      </w:r>
      <w:r>
        <w:rPr>
          <w:rFonts w:ascii="Times New Roman" w:eastAsia="SimSun" w:hAnsi="Times New Roman"/>
          <w:sz w:val="24"/>
        </w:rPr>
        <w:t xml:space="preserve"> 为模式 </w:t>
      </w:r>
      <w:r>
        <w:rPr>
          <w:rFonts w:ascii="Times New Roman" w:eastAsia="SimSun" w:hAnsi="Times New Roman"/>
          <w:i/>
          <w:sz w:val="24"/>
        </w:rPr>
        <w:t xml:space="preserve">m</w:t>
      </w:r>
      <w:r>
        <w:rPr>
          <w:rFonts w:ascii="Times New Roman" w:eastAsia="SimSun" w:hAnsi="Times New Roman"/>
          <w:sz w:val="24"/>
        </w:rPr>
        <w:t xml:space="preserve"> 上确定触发和可能触发的等级下限。仅当 </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且关键证据充分时输出确定等级，否则输出等级范围与待补证据清单，冲突处理规则见表5.3。原型以16种合成逻辑情景检验了这些规则的实现，但这不构成工程准确率证据。</w:t>
      </w:r>
    </w:p>
    <w:p>
      <w:pPr>
        <w:keepNext/>
        <w:spacing w:before="120" w:after="60" w:line="240" w:lineRule="auto"/>
        <w:jc w:val="center"/>
      </w:pPr>
      <w:r>
        <w:rPr>
          <w:rFonts w:ascii="Times New Roman" w:eastAsia="SimSun" w:hAnsi="Times New Roman"/>
          <w:sz w:val="21"/>
        </w:rPr>
        <w:t xml:space="preserve">表5.3  机理—观测冲突情景的处理规则</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700"/>
        <w:gridCol w:w="1500"/>
        <w:gridCol w:w="2300"/>
        <w:gridCol w:w="4906"/>
      </w:tblGrid>
      <w:tr>
        <w:trPr>
          <w:tblHeader/>
          <w:cantSplit/>
          <w:jc w:val="center"/>
        </w:trPr>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情景</w:t>
            </w:r>
          </w:p>
        </w:tc>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物理计算</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巡检证据</w:t>
            </w:r>
          </w:p>
        </w:tc>
        <w:tc>
          <w:tcPr>
            <w:tcW w:w="49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评价输出</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Ⅰ</w:t>
            </w:r>
          </w:p>
        </w:tc>
        <w:tc>
          <w:tcPr>
            <w:tcW w:w="1500" w:type="dxa"/>
            <w:vAlign w:val="center"/>
          </w:tcPr>
          <w:p>
            <w:pPr>
              <w:spacing w:before="20" w:after="20" w:line="240" w:lineRule="auto"/>
              <w:jc w:val="center"/>
            </w:pPr>
            <w:r>
              <w:rPr>
                <w:rFonts w:ascii="Times New Roman" w:eastAsia="SimSun" w:hAnsi="Times New Roman"/>
                <w:sz w:val="21"/>
              </w:rPr>
              <w:t xml:space="preserve">低风险</w:t>
            </w:r>
          </w:p>
        </w:tc>
        <w:tc>
          <w:tcPr>
            <w:tcW w:w="2300" w:type="dxa"/>
            <w:vAlign w:val="center"/>
          </w:tcPr>
          <w:p>
            <w:pPr>
              <w:spacing w:before="20" w:after="20" w:line="240" w:lineRule="auto"/>
              <w:jc w:val="left"/>
            </w:pPr>
            <w:r>
              <w:rPr>
                <w:rFonts w:ascii="Times New Roman" w:eastAsia="SimSun" w:hAnsi="Times New Roman"/>
                <w:sz w:val="21"/>
              </w:rPr>
              <w:t xml:space="preserve">覆盖完整、无异常</w:t>
            </w:r>
          </w:p>
        </w:tc>
        <w:tc>
          <w:tcPr>
            <w:tcW w:w="4906" w:type="dxa"/>
            <w:vAlign w:val="center"/>
          </w:tcPr>
          <w:p>
            <w:pPr>
              <w:spacing w:before="20" w:after="20" w:line="240" w:lineRule="auto"/>
              <w:jc w:val="left"/>
            </w:pPr>
            <w:r>
              <w:rPr>
                <w:rFonts w:ascii="Times New Roman" w:eastAsia="SimSun" w:hAnsi="Times New Roman"/>
                <w:sz w:val="21"/>
              </w:rPr>
              <w:t xml:space="preserve">确定低等级（唯一允许输出确定低等级的情景）</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Ⅱ</w:t>
            </w:r>
          </w:p>
        </w:tc>
        <w:tc>
          <w:tcPr>
            <w:tcW w:w="1500" w:type="dxa"/>
            <w:vAlign w:val="center"/>
          </w:tcPr>
          <w:p>
            <w:pPr>
              <w:spacing w:before="20" w:after="20" w:line="240" w:lineRule="auto"/>
              <w:jc w:val="center"/>
            </w:pPr>
            <w:r>
              <w:rPr>
                <w:rFonts w:ascii="Times New Roman" w:eastAsia="SimSun" w:hAnsi="Times New Roman"/>
                <w:sz w:val="21"/>
              </w:rPr>
              <w:t xml:space="preserve">低风险</w:t>
            </w:r>
          </w:p>
        </w:tc>
        <w:tc>
          <w:tcPr>
            <w:tcW w:w="2300" w:type="dxa"/>
            <w:vAlign w:val="center"/>
          </w:tcPr>
          <w:p>
            <w:pPr>
              <w:spacing w:before="20" w:after="20" w:line="240" w:lineRule="auto"/>
              <w:jc w:val="left"/>
            </w:pPr>
            <w:r>
              <w:rPr>
                <w:rFonts w:ascii="Times New Roman" w:eastAsia="SimSun" w:hAnsi="Times New Roman"/>
                <w:sz w:val="21"/>
              </w:rPr>
              <w:t xml:space="preserve">空间确定的确认异常</w:t>
            </w:r>
          </w:p>
        </w:tc>
        <w:tc>
          <w:tcPr>
            <w:tcW w:w="4906" w:type="dxa"/>
            <w:vAlign w:val="center"/>
          </w:tcPr>
          <w:p>
            <w:pPr>
              <w:spacing w:before="20" w:after="20" w:line="240" w:lineRule="auto"/>
              <w:jc w:val="left"/>
            </w:pPr>
            <w:r>
              <w:rPr>
                <w:rFonts w:ascii="Times New Roman" w:eastAsia="SimSun" w:hAnsi="Times New Roman"/>
                <w:sz w:val="21"/>
              </w:rPr>
              <w:t xml:space="preserve">由确认事件给出等级下限，标记冲突并复核地质概化与边界</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Ⅲ</w:t>
            </w:r>
          </w:p>
        </w:tc>
        <w:tc>
          <w:tcPr>
            <w:tcW w:w="1500" w:type="dxa"/>
            <w:vAlign w:val="center"/>
          </w:tcPr>
          <w:p>
            <w:pPr>
              <w:spacing w:before="20" w:after="20" w:line="240" w:lineRule="auto"/>
              <w:jc w:val="center"/>
            </w:pPr>
            <w:r>
              <w:rPr>
                <w:rFonts w:ascii="Times New Roman" w:eastAsia="SimSun" w:hAnsi="Times New Roman"/>
                <w:sz w:val="21"/>
              </w:rPr>
              <w:t xml:space="preserve">临界或高风险</w:t>
            </w:r>
          </w:p>
        </w:tc>
        <w:tc>
          <w:tcPr>
            <w:tcW w:w="2300" w:type="dxa"/>
            <w:vAlign w:val="center"/>
          </w:tcPr>
          <w:p>
            <w:pPr>
              <w:spacing w:before="20" w:after="20" w:line="240" w:lineRule="auto"/>
              <w:jc w:val="left"/>
            </w:pPr>
            <w:r>
              <w:rPr>
                <w:rFonts w:ascii="Times New Roman" w:eastAsia="SimSun" w:hAnsi="Times New Roman"/>
                <w:sz w:val="21"/>
              </w:rPr>
              <w:t xml:space="preserve">覆盖完整、无异常</w:t>
            </w:r>
          </w:p>
        </w:tc>
        <w:tc>
          <w:tcPr>
            <w:tcW w:w="4906" w:type="dxa"/>
            <w:vAlign w:val="center"/>
          </w:tcPr>
          <w:p>
            <w:pPr>
              <w:spacing w:before="20" w:after="20" w:line="240" w:lineRule="auto"/>
              <w:jc w:val="left"/>
            </w:pPr>
            <w:r>
              <w:rPr>
                <w:rFonts w:ascii="Times New Roman" w:eastAsia="SimSun" w:hAnsi="Times New Roman"/>
                <w:sz w:val="21"/>
              </w:rPr>
              <w:t xml:space="preserve">保持物理门控等级，无异常不抵消物理临界</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Ⅳ</w:t>
            </w:r>
          </w:p>
        </w:tc>
        <w:tc>
          <w:tcPr>
            <w:tcW w:w="1500" w:type="dxa"/>
            <w:vAlign w:val="center"/>
          </w:tcPr>
          <w:p>
            <w:pPr>
              <w:spacing w:before="20" w:after="20" w:line="240" w:lineRule="auto"/>
              <w:jc w:val="center"/>
            </w:pPr>
            <w:r>
              <w:rPr>
                <w:rFonts w:ascii="Times New Roman" w:eastAsia="SimSun" w:hAnsi="Times New Roman"/>
                <w:sz w:val="21"/>
              </w:rPr>
              <w:t xml:space="preserve">临界或高风险</w:t>
            </w:r>
          </w:p>
        </w:tc>
        <w:tc>
          <w:tcPr>
            <w:tcW w:w="2300" w:type="dxa"/>
            <w:vAlign w:val="center"/>
          </w:tcPr>
          <w:p>
            <w:pPr>
              <w:spacing w:before="20" w:after="20" w:line="240" w:lineRule="auto"/>
              <w:jc w:val="left"/>
            </w:pPr>
            <w:r>
              <w:rPr>
                <w:rFonts w:ascii="Times New Roman" w:eastAsia="SimSun" w:hAnsi="Times New Roman"/>
                <w:sz w:val="21"/>
              </w:rPr>
              <w:t xml:space="preserve">确认异常</w:t>
            </w:r>
          </w:p>
        </w:tc>
        <w:tc>
          <w:tcPr>
            <w:tcW w:w="4906" w:type="dxa"/>
            <w:vAlign w:val="center"/>
          </w:tcPr>
          <w:p>
            <w:pPr>
              <w:spacing w:before="20" w:after="20" w:line="240" w:lineRule="auto"/>
              <w:jc w:val="left"/>
            </w:pPr>
            <w:r>
              <w:rPr>
                <w:rFonts w:ascii="Times New Roman" w:eastAsia="SimSun" w:hAnsi="Times New Roman"/>
                <w:sz w:val="21"/>
              </w:rPr>
              <w:t xml:space="preserve">高风险等级，两类证据相互印证</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Ⅴ</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仅候选或疑似</w:t>
            </w:r>
          </w:p>
        </w:tc>
        <w:tc>
          <w:tcPr>
            <w:tcW w:w="4906" w:type="dxa"/>
            <w:vAlign w:val="center"/>
          </w:tcPr>
          <w:p>
            <w:pPr>
              <w:spacing w:before="20" w:after="20" w:line="240" w:lineRule="auto"/>
              <w:jc w:val="left"/>
            </w:pPr>
            <w:r>
              <w:rPr>
                <w:rFonts w:ascii="Times New Roman" w:eastAsia="SimSun" w:hAnsi="Times New Roman"/>
                <w:sz w:val="21"/>
              </w:rPr>
              <w:t xml:space="preserve">扩展可能等级上界并生成复核任务</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Ⅵ</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未覆盖、过期或缺失</w:t>
            </w:r>
          </w:p>
        </w:tc>
        <w:tc>
          <w:tcPr>
            <w:tcW w:w="4906" w:type="dxa"/>
            <w:vAlign w:val="center"/>
          </w:tcPr>
          <w:p>
            <w:pPr>
              <w:spacing w:before="20" w:after="20" w:line="240" w:lineRule="auto"/>
              <w:jc w:val="left"/>
            </w:pPr>
            <w:r>
              <w:rPr>
                <w:rFonts w:ascii="Times New Roman" w:eastAsia="SimSun" w:hAnsi="Times New Roman"/>
                <w:sz w:val="21"/>
              </w:rPr>
              <w:t xml:space="preserve">输出等级范围与缺失清单</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Ⅶ</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经复核的解除记录</w:t>
            </w:r>
          </w:p>
        </w:tc>
        <w:tc>
          <w:tcPr>
            <w:tcW w:w="4906" w:type="dxa"/>
            <w:vAlign w:val="center"/>
          </w:tcPr>
          <w:p>
            <w:pPr>
              <w:spacing w:before="20" w:after="20" w:line="240" w:lineRule="auto"/>
              <w:jc w:val="left"/>
            </w:pPr>
            <w:r>
              <w:rPr>
                <w:rFonts w:ascii="Times New Roman" w:eastAsia="SimSun" w:hAnsi="Times New Roman"/>
                <w:sz w:val="21"/>
              </w:rPr>
              <w:t xml:space="preserve">解除约束，须指向原事件且空间确定</w:t>
            </w:r>
          </w:p>
        </w:tc>
      </w:tr>
    </w:tbl>
    <w:p>
      <w:pPr>
        <w:keepNext/>
        <w:spacing w:before="240" w:after="120" w:line="360" w:lineRule="auto"/>
      </w:pPr>
      <w:r>
        <w:rPr>
          <w:rFonts w:ascii="Times New Roman" w:eastAsia="SimHei" w:hAnsi="Times New Roman"/>
          <w:b/>
          <w:sz w:val="24"/>
        </w:rPr>
        <w:t xml:space="preserve">5.6  考虑巡检实景约束的动态安全评价模型</w:t>
      </w:r>
    </w:p>
    <w:p>
      <w:pPr>
        <w:keepNext/>
        <w:spacing w:before="120" w:after="120" w:line="360" w:lineRule="auto"/>
      </w:pPr>
      <w:r>
        <w:rPr>
          <w:rFonts w:ascii="Times New Roman" w:eastAsia="SimHei" w:hAnsi="Times New Roman"/>
          <w:b/>
          <w:sz w:val="24"/>
        </w:rPr>
        <w:t xml:space="preserve">5.6.1  物理规则链</w:t>
      </w:r>
    </w:p>
    <w:p>
      <w:pPr>
        <w:spacing w:after="0" w:line="360" w:lineRule="auto"/>
        <w:ind w:firstLine="480"/>
        <w:jc w:val="both"/>
      </w:pPr>
      <w:r>
        <w:rPr>
          <w:rFonts w:ascii="Times New Roman" w:eastAsia="SimSun" w:hAnsi="Times New Roman"/>
          <w:sz w:val="24"/>
        </w:rPr>
        <w:t xml:space="preserve">指标不利响应为 </w:t>
      </w:r>
      <w:r>
        <w:rPr>
          <w:rFonts w:ascii="Times New Roman" w:eastAsia="SimSun" w:hAnsi="Times New Roman"/>
          <w:i/>
          <w:sz w:val="24"/>
        </w:rPr>
        <w:t xml:space="preserve">r</w:t>
      </w:r>
      <w:r>
        <w:rPr>
          <w:rFonts w:ascii="Times New Roman" w:eastAsia="SimSun" w:hAnsi="Times New Roman"/>
          <w:i/>
          <w:sz w:val="24"/>
          <w:vertAlign w:val="subscript"/>
        </w:rPr>
        <w:t xml:space="preserve">j</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，模式响应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 为模式内归一化权重下的加权和；C1、C4、C5任一风险比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或抗滑安全系数小于1.0时，对应模式响应直接取1。运行管理能力 </w:t>
      </w:r>
      <w:r>
        <w:rPr>
          <w:rFonts w:ascii="Times New Roman" w:eastAsia="SimSun" w:hAnsi="Times New Roman"/>
          <w:i/>
          <w:sz w:val="24"/>
        </w:rPr>
        <w:t xml:space="preserve">B</w:t>
      </w:r>
      <w:r>
        <w:rPr>
          <w:rFonts w:ascii="Times New Roman" w:eastAsia="SimSun" w:hAnsi="Times New Roman"/>
          <w:sz w:val="24"/>
        </w:rPr>
        <w:t xml:space="preserve"> 对中间风险作屏障修正，再计算综合风险与得分：</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 + </w:t>
      </w:r>
      <w:r>
        <w:rPr>
          <w:rFonts w:ascii="Times New Roman" w:eastAsia="SimSun" w:hAnsi="Times New Roman"/>
          <w:i/>
          <w:sz w:val="24"/>
        </w:rPr>
        <w:t xml:space="preserve">λ</w:t>
      </w:r>
      <w:r>
        <w:rPr>
          <w:rFonts w:ascii="Times New Roman" w:eastAsia="SimSun" w:hAnsi="Times New Roman"/>
          <w:sz w:val="24"/>
        </w:rPr>
        <w:t xml:space="preserve">cR</w:t>
      </w:r>
      <w:r>
        <w:rPr>
          <w:rFonts w:ascii="Times New Roman" w:eastAsia="SimSun" w:hAnsi="Times New Roman"/>
          <w:i/>
          <w:sz w:val="24"/>
          <w:vertAlign w:val="subscript"/>
        </w:rPr>
        <w:t xml:space="preserve">m</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w:tab/>
        <w:t xml:space="preserve">(5-8)</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ρ</w:t>
      </w:r>
      <w:r>
        <w:rPr>
          <w:rFonts w:ascii="Times New Roman" w:eastAsia="SimSun" w:hAnsi="Times New Roman"/>
          <w:sz w:val="24"/>
        </w:rPr>
        <w:t xml:space="preserve"> = </w:t>
      </w:r>
      <w:r>
        <w:rPr>
          <w:rFonts w:ascii="Times New Roman" w:eastAsia="SimSun" w:hAnsi="Times New Roman"/>
          <w:i/>
          <w:sz w:val="24"/>
        </w:rPr>
        <w:t xml:space="preserve">α</w:t>
      </w:r>
      <w:r>
        <w:rPr>
          <w:rFonts w:ascii="Times New Roman" w:eastAsia="SimSun" w:hAnsi="Times New Roman"/>
          <w:sz w:val="24"/>
        </w:rPr>
        <w:t xml:space="preserve"> max</w:t>
      </w:r>
      <w:r>
        <w:rPr>
          <w:rFonts w:ascii="Times New Roman" w:eastAsia="SimSun" w:hAnsi="Times New Roman"/>
          <w:i/>
          <w:sz w:val="24"/>
          <w:vertAlign w:val="subscript"/>
        </w:rPr>
        <w:t xml:space="preserve">m</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α</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m</w:t>
      </w:r>
      <w:r>
        <w:rPr>
          <w:rFonts w:ascii="Times New Roman" w:eastAsia="SimSun" w:hAnsi="Times New Roman"/>
          <w:i/>
          <w:sz w:val="24"/>
        </w:rPr>
        <w:t xml:space="preserve">π</w:t>
      </w:r>
      <w:r>
        <w:rPr>
          <w:rFonts w:ascii="Times New Roman" w:eastAsia="SimSun" w:hAnsi="Times New Roman"/>
          <w:i/>
          <w:sz w:val="24"/>
          <w:vertAlign w:val="subscript"/>
        </w:rPr>
        <w:t xml:space="preserve">m</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ρ</w:t>
      </w:r>
      <w:r>
        <w:rPr>
          <w:rFonts w:ascii="Times New Roman" w:eastAsia="SimSun" w:hAnsi="Times New Roman"/>
          <w:sz w:val="24"/>
        </w:rPr>
        <w:t xml:space="preserve">)</w:t>
      </w:r>
      <w:r>
        <w:rPr>
          <w:rFonts w:ascii="Times New Roman" w:eastAsia="SimSun" w:hAnsi="Times New Roman"/>
          <w:sz w:val="24"/>
        </w:rPr>
        <w:t xml:space="preserve"/>
        <w:tab/>
        <w:t xml:space="preserve">(5-9)</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λ</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rPr>
        <w:t xml:space="preserve"> 为E1—E5资料覆盖度，修正不使响应低于原值也不改变临界模式；</w:t>
      </w:r>
      <w:r>
        <w:rPr>
          <w:rFonts w:ascii="Times New Roman" w:eastAsia="SimSun" w:hAnsi="Times New Roman"/>
          <w:i/>
          <w:sz w:val="24"/>
        </w:rPr>
        <w:t xml:space="preserve">π</w:t>
      </w:r>
      <w:r>
        <w:rPr>
          <w:rFonts w:ascii="Times New Roman" w:eastAsia="SimSun" w:hAnsi="Times New Roman"/>
          <w:i/>
          <w:sz w:val="24"/>
          <w:vertAlign w:val="subscript"/>
        </w:rPr>
        <w:t xml:space="preserve">m</w:t>
      </w:r>
      <w:r>
        <w:rPr>
          <w:rFonts w:ascii="Times New Roman" w:eastAsia="SimSun" w:hAnsi="Times New Roman"/>
          <w:sz w:val="24"/>
        </w:rPr>
        <w:t xml:space="preserve"> 为在可用模式上重新归一化的模式权重，短板系数 </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，且 </w:t>
      </w:r>
      <w:r>
        <w:rPr>
          <w:rFonts w:ascii="Times New Roman" w:eastAsia="SimSun" w:hAnsi="Times New Roman"/>
          <w:sz w:val="24"/>
        </w:rPr>
        <w:t xml:space="preserve">d</w:t>
      </w:r>
      <w:r>
        <w:rPr>
          <w:rFonts w:ascii="Times New Roman" w:eastAsia="SimSun" w:hAnsi="Times New Roman"/>
          <w:i/>
          <w:sz w:val="24"/>
        </w:rPr>
        <w:t xml:space="preserve">ρ</w:t>
      </w:r>
      <w:r>
        <w:rPr>
          <w:rFonts w:ascii="Times New Roman" w:eastAsia="SimSun" w:hAnsi="Times New Roman"/>
          <w:sz w:val="24"/>
        </w:rPr>
        <w:t xml:space="preserve">/</w:t>
      </w:r>
      <w:r>
        <w:rPr>
          <w:rFonts w:ascii="Times New Roman" w:eastAsia="SimSun" w:hAnsi="Times New Roman"/>
          <w:sz w:val="24"/>
        </w:rPr>
        <w:t xml:space="preserve">d</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8</w:t>
      </w:r>
      <w:r>
        <w:rPr>
          <w:rFonts w:ascii="Times New Roman" w:eastAsia="SimSun" w:hAnsi="Times New Roman"/>
          <w:sz w:val="24"/>
        </w:rPr>
        <w:t xml:space="preserve">0</w:t>
      </w:r>
      <w:r>
        <w:rPr>
          <w:rFonts w:ascii="Times New Roman" w:eastAsia="SimSun" w:hAnsi="Times New Roman"/>
          <w:sz w:val="24"/>
        </w:rPr>
        <w:t xml:space="preserve"> 为A级，</w:t>
      </w:r>
      <w:r>
        <w:rPr>
          <w:rFonts w:ascii="Times New Roman" w:eastAsia="SimSun" w:hAnsi="Times New Roman"/>
          <w:sz w:val="24"/>
        </w:rPr>
        <w:t xml:space="preserve">4</w:t>
      </w:r>
      <w:r>
        <w:rPr>
          <w:rFonts w:ascii="Times New Roman" w:eastAsia="SimSun" w:hAnsi="Times New Roman"/>
          <w:sz w:val="24"/>
        </w:rPr>
        <w:t xml:space="preserve">0</w:t>
      </w:r>
      <w:r>
        <w:rPr>
          <w:rFonts w:ascii="Times New Roman" w:eastAsia="SimSun" w:hAnsi="Times New Roman"/>
          <w:sz w:val="24"/>
        </w:rPr>
        <w:t xml:space="preserve"> ≤ </w:t>
      </w:r>
      <w:r>
        <w:rPr>
          <w:rFonts w:ascii="Times New Roman" w:eastAsia="SimSun" w:hAnsi="Times New Roman"/>
          <w:i/>
          <w:sz w:val="24"/>
        </w:rPr>
        <w:t xml:space="preserve">S</w:t>
      </w:r>
      <w:r>
        <w:rPr>
          <w:rFonts w:ascii="Times New Roman" w:eastAsia="SimSun" w:hAnsi="Times New Roman"/>
          <w:sz w:val="24"/>
        </w:rPr>
        <w:t xml:space="preserve"> &lt; </w:t>
      </w:r>
      <w:r>
        <w:rPr>
          <w:rFonts w:ascii="Times New Roman" w:eastAsia="SimSun" w:hAnsi="Times New Roman"/>
          <w:sz w:val="24"/>
        </w:rPr>
        <w:t xml:space="preserve">8</w:t>
      </w:r>
      <w:r>
        <w:rPr>
          <w:rFonts w:ascii="Times New Roman" w:eastAsia="SimSun" w:hAnsi="Times New Roman"/>
          <w:sz w:val="24"/>
        </w:rPr>
        <w:t xml:space="preserve">0</w:t>
      </w:r>
      <w:r>
        <w:rPr>
          <w:rFonts w:ascii="Times New Roman" w:eastAsia="SimSun" w:hAnsi="Times New Roman"/>
          <w:sz w:val="24"/>
        </w:rPr>
        <w:t xml:space="preserve"> 为B级，</w:t>
      </w:r>
      <w:r>
        <w:rPr>
          <w:rFonts w:ascii="Times New Roman" w:eastAsia="SimSun" w:hAnsi="Times New Roman"/>
          <w:i/>
          <w:sz w:val="24"/>
        </w:rPr>
        <w:t xml:space="preserve">S</w:t>
      </w:r>
      <w:r>
        <w:rPr>
          <w:rFonts w:ascii="Times New Roman" w:eastAsia="SimSun" w:hAnsi="Times New Roman"/>
          <w:sz w:val="24"/>
        </w:rPr>
        <w:t xml:space="preserve"> &lt; </w:t>
      </w:r>
      <w:r>
        <w:rPr>
          <w:rFonts w:ascii="Times New Roman" w:eastAsia="SimSun" w:hAnsi="Times New Roman"/>
          <w:sz w:val="24"/>
        </w:rPr>
        <w:t xml:space="preserve">4</w:t>
      </w:r>
      <w:r>
        <w:rPr>
          <w:rFonts w:ascii="Times New Roman" w:eastAsia="SimSun" w:hAnsi="Times New Roman"/>
          <w:sz w:val="24"/>
        </w:rPr>
        <w:t xml:space="preserve">0</w:t>
      </w:r>
      <w:r>
        <w:rPr>
          <w:rFonts w:ascii="Times New Roman" w:eastAsia="SimSun" w:hAnsi="Times New Roman"/>
          <w:sz w:val="24"/>
        </w:rPr>
        <w:t xml:space="preserve"> 为C级；随后依次施加观测上限和硬门控，两步只能使等级保持或升高，最终等级记为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。主控模式是模型内部的分数归因，不是失事概率。</w:t>
      </w:r>
    </w:p>
    <w:p>
      <w:pPr>
        <w:keepNext/>
        <w:spacing w:before="120" w:after="120" w:line="360" w:lineRule="auto"/>
      </w:pPr>
      <w:r>
        <w:rPr>
          <w:rFonts w:ascii="Times New Roman" w:eastAsia="SimHei" w:hAnsi="Times New Roman"/>
          <w:b/>
          <w:sz w:val="24"/>
        </w:rPr>
        <w:t xml:space="preserve">5.6.2  随机森林决策层</w:t>
      </w:r>
    </w:p>
    <w:p>
      <w:pPr>
        <w:spacing w:after="0" w:line="360" w:lineRule="auto"/>
        <w:ind w:firstLine="480"/>
        <w:jc w:val="both"/>
      </w:pPr>
      <w:r>
        <w:rPr>
          <w:rFonts w:ascii="Times New Roman" w:eastAsia="SimSun" w:hAnsi="Times New Roman"/>
          <w:sz w:val="24"/>
        </w:rPr>
        <w:t xml:space="preserve">学习层利用指标间的非线性交互修正等级，使用14项特征：堤顶高程，三处坡降及其除以0.25的归一化值，两侧边坡安全系数及背水坡安全系数倒数，冲刷深度及其除以1.0 m的归一化值，巡检异常密度与证据等级。目标情景、严重度、参考等级、综合得分与主控模式均不作为特征，其中也没有结构状态指标。随机森林为确定性NumPy CART实现，以Gini不纯度分裂</w:t>
      </w:r>
      <w:r>
        <w:rPr>
          <w:rFonts w:ascii="Times New Roman" w:eastAsia="SimSun" w:hAnsi="Times New Roman"/>
          <w:sz w:val="24"/>
          <w:vertAlign w:val="superscript"/>
        </w:rPr>
        <w:t xml:space="preserve">[198]</w:t>
      </w:r>
      <w:r>
        <w:rPr>
          <w:rFonts w:ascii="Times New Roman" w:eastAsia="SimSun" w:hAnsi="Times New Roman"/>
          <w:sz w:val="24"/>
        </w:rPr>
        <w:t xml:space="preserve">；森林含120棵自助采样树，最大深度7，最小叶节点3，每次分裂抽取4个特征</w:t>
      </w:r>
      <w:r>
        <w:rPr>
          <w:rFonts w:ascii="Times New Roman" w:eastAsia="SimSun" w:hAnsi="Times New Roman"/>
          <w:sz w:val="24"/>
          <w:vertAlign w:val="superscript"/>
        </w:rPr>
        <w:t xml:space="preserve">[199]</w:t>
      </w:r>
      <w:r>
        <w:rPr>
          <w:rFonts w:ascii="Times New Roman" w:eastAsia="SimSun" w:hAnsi="Times New Roman"/>
          <w:sz w:val="24"/>
        </w:rPr>
        <w:t xml:space="preserve">，超参数在附加批次生成前固定。875条记录只有722个互异特征向量，相同向量分入同一折，全部结果采用分组五折样本外（OOF）预测以避免泄漏</w:t>
      </w:r>
      <w:r>
        <w:rPr>
          <w:rFonts w:ascii="Times New Roman" w:eastAsia="SimSun" w:hAnsi="Times New Roman"/>
          <w:sz w:val="24"/>
          <w:vertAlign w:val="superscript"/>
        </w:rPr>
        <w:t xml:space="preserve">[200]</w:t>
      </w:r>
      <w:r>
        <w:rPr>
          <w:rFonts w:ascii="Times New Roman" w:eastAsia="SimSun" w:hAnsi="Times New Roman"/>
          <w:sz w:val="24"/>
        </w:rPr>
        <w:t xml:space="preserve">。由类别概率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i/>
          <w:sz w:val="24"/>
          <w:vertAlign w:val="subscript"/>
        </w:rPr>
        <w:t xml:space="preserve">A</w:t>
      </w:r>
      <w:r>
        <w:rPr>
          <w:rFonts w:ascii="Times New Roman" w:eastAsia="SimSun" w:hAnsi="Times New Roman"/>
          <w:sz w:val="24"/>
        </w:rPr>
        <w:t xml:space="preserve">, </w:t>
      </w:r>
      <w:r>
        <w:rPr>
          <w:rFonts w:ascii="Times New Roman" w:eastAsia="SimSun" w:hAnsi="Times New Roman"/>
          <w:i/>
          <w:sz w:val="24"/>
        </w:rPr>
        <w:t xml:space="preserve">p</w:t>
      </w:r>
      <w:r>
        <w:rPr>
          <w:rFonts w:ascii="Times New Roman" w:eastAsia="SimSun" w:hAnsi="Times New Roman"/>
          <w:i/>
          <w:sz w:val="24"/>
          <w:vertAlign w:val="subscript"/>
        </w:rPr>
        <w:t xml:space="preserve">B</w:t>
      </w:r>
      <w:r>
        <w:rPr>
          <w:rFonts w:ascii="Times New Roman" w:eastAsia="SimSun" w:hAnsi="Times New Roman"/>
          <w:sz w:val="24"/>
        </w:rPr>
        <w:t xml:space="preserve">, </w:t>
      </w:r>
      <w:r>
        <w:rPr>
          <w:rFonts w:ascii="Times New Roman" w:eastAsia="SimSun" w:hAnsi="Times New Roman"/>
          <w:i/>
          <w:sz w:val="24"/>
        </w:rPr>
        <w:t xml:space="preserve">p</w:t>
      </w:r>
      <w:r>
        <w:rPr>
          <w:rFonts w:ascii="Times New Roman" w:eastAsia="SimSun" w:hAnsi="Times New Roman"/>
          <w:i/>
          <w:sz w:val="24"/>
          <w:vertAlign w:val="subscript"/>
        </w:rPr>
        <w:t xml:space="preserve">C</w:t>
      </w:r>
      <w:r>
        <w:rPr>
          <w:rFonts w:ascii="Times New Roman" w:eastAsia="SimSun" w:hAnsi="Times New Roman"/>
          <w:sz w:val="24"/>
        </w:rPr>
        <w:t xml:space="preserve">)</w:t>
      </w:r>
      <w:r>
        <w:rPr>
          <w:rFonts w:ascii="Times New Roman" w:eastAsia="SimSun" w:hAnsi="Times New Roman"/>
          <w:sz w:val="24"/>
        </w:rPr>
        <w:t xml:space="preserve">，阈值策略为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C</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i/>
          <w:sz w:val="24"/>
          <w:vertAlign w:val="subscript"/>
        </w:rPr>
        <w:t xml:space="preserve">C</w:t>
      </w:r>
      <w:r>
        <w:rPr>
          <w:rFonts w:ascii="Times New Roman" w:eastAsia="SimSun" w:hAnsi="Times New Roman"/>
          <w:sz w:val="24"/>
        </w:rPr>
        <w:t xml:space="preserve"> ≥ </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B</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i/>
          <w:sz w:val="24"/>
          <w:vertAlign w:val="subscript"/>
        </w:rPr>
        <w:t xml:space="preserve">C</w:t>
      </w:r>
      <w:r>
        <w:rPr>
          <w:rFonts w:ascii="Times New Roman" w:eastAsia="SimSun" w:hAnsi="Times New Roman"/>
          <w:sz w:val="24"/>
        </w:rPr>
        <w:t xml:space="preserve"> &lt; </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p</w:t>
      </w:r>
      <w:r>
        <w:rPr>
          <w:rFonts w:ascii="Times New Roman" w:eastAsia="SimSun" w:hAnsi="Times New Roman"/>
          <w:i/>
          <w:sz w:val="24"/>
          <w:vertAlign w:val="subscript"/>
        </w:rPr>
        <w:t xml:space="preserve">B</w:t>
      </w:r>
      <w:r>
        <w:rPr>
          <w:rFonts w:ascii="Times New Roman" w:eastAsia="SimSun" w:hAnsi="Times New Roman"/>
          <w:sz w:val="24"/>
        </w:rPr>
        <w:t xml:space="preserve"> ≥ </w:t>
      </w:r>
      <w:r>
        <w:rPr>
          <w:rFonts w:ascii="Times New Roman" w:eastAsia="SimSun" w:hAnsi="Times New Roman"/>
          <w:i/>
          <w:sz w:val="24"/>
        </w:rPr>
        <w:t xml:space="preserve">τ</w:t>
      </w:r>
      <w:r>
        <w:rPr>
          <w:rFonts w:ascii="Times New Roman" w:eastAsia="SimSun" w:hAnsi="Times New Roman"/>
          <w:i/>
          <w:sz w:val="24"/>
          <w:vertAlign w:val="subscript"/>
        </w:rPr>
        <w:t xml:space="preserve">B</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A</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sz w:val="24"/>
        </w:rPr>
        <w:t xml:space="preserve">其</w:t>
      </w:r>
      <w:r>
        <w:rPr>
          <w:rFonts w:ascii="Times New Roman" w:eastAsia="SimSun" w:hAnsi="Times New Roman"/>
          <w:sz w:val="24"/>
        </w:rPr>
        <w:t xml:space="preserve">他</w:t>
      </w:r>
      <w:r>
        <w:rPr>
          <w:rFonts w:ascii="Times New Roman" w:eastAsia="SimSun" w:hAnsi="Times New Roman"/>
          <w:sz w:val="24"/>
        </w:rPr>
        <w:t xml:space="preserve">)</w:t>
      </w:r>
      <w:r>
        <w:rPr>
          <w:rFonts w:ascii="Times New Roman" w:eastAsia="SimSun" w:hAnsi="Times New Roman"/>
          <w:sz w:val="24"/>
        </w:rPr>
        <w:t xml:space="preserve"/>
        <w:tab/>
        <w:t xml:space="preserve">(5-10)</w:t>
      </w:r>
    </w:p>
    <w:p>
      <w:pPr>
        <w:spacing w:after="0" w:line="360" w:lineRule="auto"/>
        <w:ind w:firstLine="480"/>
        <w:jc w:val="both"/>
      </w:pPr>
      <w:r>
        <w:rPr>
          <w:rFonts w:ascii="Times New Roman" w:eastAsia="SimSun" w:hAnsi="Times New Roman"/>
          <w:sz w:val="24"/>
        </w:rPr>
        <w:t xml:space="preserve">声明运行点 </w:t>
      </w:r>
      <w:r>
        <w:rPr>
          <w:rFonts w:ascii="Times New Roman" w:eastAsia="SimSun" w:hAnsi="Times New Roman"/>
          <w:sz w:val="24"/>
        </w:rPr>
        <w:t xml:space="preserve">(</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i/>
          <w:sz w:val="24"/>
          <w:vertAlign w:val="subscript"/>
        </w:rPr>
        <w:t xml:space="preserve">B</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5</w:t>
      </w:r>
      <w:r>
        <w:rPr>
          <w:rFonts w:ascii="Times New Roman" w:eastAsia="SimSun" w:hAnsi="Times New Roman"/>
          <w:sz w:val="24"/>
        </w:rPr>
        <w:t xml:space="preserve">,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 在0.05网格上按“无A级高估、C类召回率不低于0.85、宏平均F1最高”选取，是声明的工作点而非工程最优点。为区分错误方向，定义离线评价用的安全损失</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L</w:t>
      </w:r>
      <w:r>
        <w:rPr>
          <w:rFonts w:ascii="Times New Roman" w:eastAsia="SimSun" w:hAnsi="Times New Roman"/>
          <w:sz w:val="24"/>
          <w:vertAlign w:val="subscript"/>
        </w:rPr>
        <w:t xml:space="preserve">safe</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A</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B</w:t>
      </w:r>
      <w:r>
        <w:rPr>
          <w:rFonts w:ascii="Times New Roman" w:eastAsia="SimSun" w:hAnsi="Times New Roman"/>
          <w:sz w:val="24"/>
        </w:rPr>
        <w:t xml:space="preserve">)</w:t>
      </w:r>
      <w:r>
        <w:rPr>
          <w:rFonts w:ascii="Times New Roman" w:eastAsia="SimSun" w:hAnsi="Times New Roman"/>
          <w:sz w:val="24"/>
        </w:rPr>
        <w:t xml:space="preserve"/>
        <w:tab/>
        <w:t xml:space="preserve">(5-11)</w:t>
      </w:r>
    </w:p>
    <w:p>
      <w:pPr>
        <w:spacing w:after="0" w:line="360" w:lineRule="auto"/>
        <w:ind w:firstLine="480"/>
        <w:jc w:val="both"/>
      </w:pPr>
      <w:r>
        <w:rPr>
          <w:rFonts w:ascii="Times New Roman" w:eastAsia="SimSun" w:hAnsi="Times New Roman"/>
          <w:sz w:val="24"/>
        </w:rPr>
        <w:t xml:space="preserve">即直接的两级降级按一级降级的两倍计。另以C类权重1.5—6的代价加权森林</w:t>
      </w:r>
      <w:r>
        <w:rPr>
          <w:rFonts w:ascii="Times New Roman" w:eastAsia="SimSun" w:hAnsi="Times New Roman"/>
          <w:sz w:val="24"/>
          <w:vertAlign w:val="superscript"/>
        </w:rPr>
        <w:t xml:space="preserve">[201]</w:t>
      </w:r>
      <w:r>
        <w:rPr>
          <w:rFonts w:ascii="Times New Roman" w:eastAsia="SimSun" w:hAnsi="Times New Roman"/>
          <w:sz w:val="24"/>
        </w:rPr>
        <w:t xml:space="preserve">作对照。</w:t>
      </w:r>
    </w:p>
    <w:p>
      <w:pPr>
        <w:keepNext/>
        <w:spacing w:before="120" w:after="120" w:line="360" w:lineRule="auto"/>
      </w:pPr>
      <w:r>
        <w:rPr>
          <w:rFonts w:ascii="Times New Roman" w:eastAsia="SimHei" w:hAnsi="Times New Roman"/>
          <w:b/>
          <w:sz w:val="24"/>
        </w:rPr>
        <w:t xml:space="preserve">5.6.3  序数物理下限</w:t>
      </w:r>
    </w:p>
    <w:p>
      <w:pPr>
        <w:spacing w:after="0" w:line="360" w:lineRule="auto"/>
        <w:ind w:firstLine="480"/>
        <w:jc w:val="both"/>
      </w:pPr>
      <w:r>
        <w:rPr>
          <w:rFonts w:ascii="Times New Roman" w:eastAsia="SimSun" w:hAnsi="Times New Roman"/>
          <w:sz w:val="24"/>
        </w:rPr>
        <w:t xml:space="preserve">将A、B、C编码为0、1、2，序数物理下限为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ŷ</w:t>
      </w:r>
      <w:r>
        <w:rPr>
          <w:rFonts w:ascii="Times New Roman" w:eastAsia="SimSun" w:hAnsi="Times New Roman"/>
          <w:i/>
          <w:sz w:val="24"/>
          <w:vertAlign w:val="subscript"/>
        </w:rPr>
        <w:t xml:space="preserve">H</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w:t>
      </w:r>
      <w:r>
        <w:rPr>
          <w:rFonts w:ascii="Times New Roman" w:eastAsia="SimSun" w:hAnsi="Times New Roman"/>
          <w:sz w:val="24"/>
        </w:rPr>
        <w:t xml:space="preserve"/>
        <w:tab/>
        <w:t xml:space="preserve">(5-12)</w:t>
      </w:r>
    </w:p>
    <w:p>
      <w:pPr>
        <w:spacing w:after="0" w:line="360" w:lineRule="auto"/>
        <w:ind w:firstLine="480"/>
        <w:jc w:val="both"/>
      </w:pPr>
      <w:r>
        <w:rPr>
          <w:rFonts w:ascii="Times New Roman" w:eastAsia="SimSun" w:hAnsi="Times New Roman"/>
          <w:sz w:val="24"/>
        </w:rPr>
        <w:t xml:space="preserve">即学习层只能调高而不能调低规则链等级，组合不重新训练任何部分，并保留规则链的门控与溯源。</w:t>
      </w:r>
    </w:p>
    <w:p>
      <w:pPr>
        <w:spacing w:after="0" w:line="360" w:lineRule="auto"/>
        <w:ind w:firstLine="480"/>
        <w:jc w:val="both"/>
      </w:pPr>
      <w:r>
        <w:rPr>
          <w:rFonts w:ascii="Times New Roman" w:eastAsia="SimHei" w:hAnsi="Times New Roman"/>
          <w:b/>
          <w:sz w:val="24"/>
        </w:rPr>
        <w:t xml:space="preserve">命题5.1</w:t>
      </w:r>
      <w:r>
        <w:rPr>
          <w:rFonts w:ascii="Times New Roman" w:eastAsia="SimSun" w:hAnsi="Times New Roman"/>
          <w:sz w:val="24"/>
        </w:rPr>
        <w:t xml:space="preserve">  对参考等级 </w:t>
      </w:r>
      <w:r>
        <w:rPr>
          <w:rFonts w:ascii="Times New Roman" w:eastAsia="SimSun" w:hAnsi="Times New Roman"/>
          <w:i/>
          <w:sz w:val="24"/>
        </w:rPr>
        <w:t xml:space="preserve">y</w:t>
      </w:r>
      <w:r>
        <w:rPr>
          <w:rFonts w:ascii="Times New Roman" w:eastAsia="SimSun" w:hAnsi="Times New Roman"/>
          <w:sz w:val="24"/>
        </w:rPr>
        <w:t xml:space="preserve">：（1）</w:t>
      </w:r>
      <w:r>
        <w:rPr>
          <w:rFonts w:ascii="Times New Roman" w:eastAsia="SimSun" w:hAnsi="Times New Roman"/>
          <w:i/>
          <w:sz w:val="24"/>
        </w:rPr>
        <w:t xml:space="preserve">ŷ</w:t>
      </w:r>
      <w:r>
        <w:rPr>
          <w:rFonts w:ascii="Times New Roman" w:eastAsia="SimSun" w:hAnsi="Times New Roman"/>
          <w:i/>
          <w:sz w:val="24"/>
          <w:vertAlign w:val="subscript"/>
        </w:rPr>
        <w:t xml:space="preserve">H</w:t>
      </w:r>
      <w:r>
        <w:rPr>
          <w:rFonts w:ascii="Times New Roman" w:eastAsia="SimSun" w:hAnsi="Times New Roman"/>
          <w:sz w:val="24"/>
        </w:rPr>
        <w:t xml:space="preserve"> &lt; </w:t>
      </w:r>
      <w:r>
        <w:rPr>
          <w:rFonts w:ascii="Times New Roman" w:eastAsia="SimSun" w:hAnsi="Times New Roman"/>
          <w:i/>
          <w:sz w:val="24"/>
        </w:rPr>
        <w:t xml:space="preserve">y</w:t>
      </w:r>
      <w:r>
        <w:rPr>
          <w:rFonts w:ascii="Times New Roman" w:eastAsia="SimSun" w:hAnsi="Times New Roman"/>
          <w:sz w:val="24"/>
        </w:rPr>
        <w:t xml:space="preserve"> 当且仅当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&lt; </w:t>
      </w:r>
      <w:r>
        <w:rPr>
          <w:rFonts w:ascii="Times New Roman" w:eastAsia="SimSun" w:hAnsi="Times New Roman"/>
          <w:i/>
          <w:sz w:val="24"/>
        </w:rPr>
        <w:t xml:space="preserve">y</w:t>
      </w:r>
      <w:r>
        <w:rPr>
          <w:rFonts w:ascii="Times New Roman" w:eastAsia="SimSun" w:hAnsi="Times New Roman"/>
          <w:sz w:val="24"/>
        </w:rPr>
        <w:t xml:space="preserve"> 且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 &lt; </w:t>
      </w:r>
      <w:r>
        <w:rPr>
          <w:rFonts w:ascii="Times New Roman" w:eastAsia="SimSun" w:hAnsi="Times New Roman"/>
          <w:i/>
          <w:sz w:val="24"/>
        </w:rPr>
        <w:t xml:space="preserve">y</w:t>
      </w:r>
      <w:r>
        <w:rPr>
          <w:rFonts w:ascii="Times New Roman" w:eastAsia="SimSun" w:hAnsi="Times New Roman"/>
          <w:sz w:val="24"/>
        </w:rPr>
        <w:t xml:space="preserve">；（2）</w:t>
      </w:r>
      <w:r>
        <w:rPr>
          <w:rFonts w:ascii="Times New Roman" w:eastAsia="SimSun" w:hAnsi="Times New Roman"/>
          <w:i/>
          <w:sz w:val="24"/>
        </w:rPr>
        <w:t xml:space="preserve">ŷ</w:t>
      </w:r>
      <w:r>
        <w:rPr>
          <w:rFonts w:ascii="Times New Roman" w:eastAsia="SimSun" w:hAnsi="Times New Roman"/>
          <w:i/>
          <w:sz w:val="24"/>
          <w:vertAlign w:val="subscript"/>
        </w:rPr>
        <w:t xml:space="preserve">H</w:t>
      </w:r>
      <w:r>
        <w:rPr>
          <w:rFonts w:ascii="Times New Roman" w:eastAsia="SimSun" w:hAnsi="Times New Roman"/>
          <w:sz w:val="24"/>
        </w:rPr>
        <w:t xml:space="preserve"> &gt; </w:t>
      </w:r>
      <w:r>
        <w:rPr>
          <w:rFonts w:ascii="Times New Roman" w:eastAsia="SimSun" w:hAnsi="Times New Roman"/>
          <w:i/>
          <w:sz w:val="24"/>
        </w:rPr>
        <w:t xml:space="preserve">y</w:t>
      </w:r>
      <w:r>
        <w:rPr>
          <w:rFonts w:ascii="Times New Roman" w:eastAsia="SimSun" w:hAnsi="Times New Roman"/>
          <w:sz w:val="24"/>
        </w:rPr>
        <w:t xml:space="preserve"> 当且仅当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&gt; </w:t>
      </w:r>
      <w:r>
        <w:rPr>
          <w:rFonts w:ascii="Times New Roman" w:eastAsia="SimSun" w:hAnsi="Times New Roman"/>
          <w:i/>
          <w:sz w:val="24"/>
        </w:rPr>
        <w:t xml:space="preserve">y</w:t>
      </w:r>
      <w:r>
        <w:rPr>
          <w:rFonts w:ascii="Times New Roman" w:eastAsia="SimSun" w:hAnsi="Times New Roman"/>
          <w:sz w:val="24"/>
        </w:rPr>
        <w:t xml:space="preserve"> 或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 &gt; </w:t>
      </w:r>
      <w:r>
        <w:rPr>
          <w:rFonts w:ascii="Times New Roman" w:eastAsia="SimSun" w:hAnsi="Times New Roman"/>
          <w:i/>
          <w:sz w:val="24"/>
        </w:rPr>
        <w:t xml:space="preserve">y</w:t>
      </w:r>
      <w:r>
        <w:rPr>
          <w:rFonts w:ascii="Times New Roman" w:eastAsia="SimSun" w:hAnsi="Times New Roman"/>
          <w:sz w:val="24"/>
        </w:rPr>
        <w:t xml:space="preserve">；（3）</w:t>
      </w:r>
      <w:r>
        <w:rPr>
          <w:rFonts w:ascii="Times New Roman" w:eastAsia="SimSun" w:hAnsi="Times New Roman"/>
          <w:i/>
          <w:sz w:val="24"/>
        </w:rPr>
        <w:t xml:space="preserve">ŷ</w:t>
      </w:r>
      <w:r>
        <w:rPr>
          <w:rFonts w:ascii="Times New Roman" w:eastAsia="SimSun" w:hAnsi="Times New Roman"/>
          <w:i/>
          <w:sz w:val="24"/>
          <w:vertAlign w:val="subscript"/>
        </w:rPr>
        <w:t xml:space="preserve">H</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 当且仅当二者均为0。</w:t>
      </w:r>
      <w:r>
        <w:rPr>
          <w:rFonts w:ascii="Times New Roman" w:eastAsia="SimHei" w:hAnsi="Times New Roman"/>
          <w:b/>
          <w:sz w:val="24"/>
        </w:rPr>
        <w:t xml:space="preserve">证明</w:t>
      </w:r>
      <w:r>
        <w:rPr>
          <w:rFonts w:ascii="Times New Roman" w:eastAsia="SimSun" w:hAnsi="Times New Roman"/>
          <w:sz w:val="24"/>
        </w:rPr>
        <w:t xml:space="preserve">  对整数 </w:t>
      </w:r>
      <w:r>
        <w:rPr>
          <w:rFonts w:ascii="Times New Roman" w:eastAsia="SimSun" w:hAnsi="Times New Roman"/>
          <w:i/>
          <w:sz w:val="24"/>
        </w:rPr>
        <w:t xml:space="preserve">a</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i/>
          <w:sz w:val="24"/>
        </w:rPr>
        <w:t xml:space="preserve">y</w:t>
      </w:r>
      <w:r>
        <w:rPr>
          <w:rFonts w:ascii="Times New Roman" w:eastAsia="SimSun" w:hAnsi="Times New Roman"/>
          <w:sz w:val="24"/>
        </w:rPr>
        <w:t xml:space="preserve">，</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&lt;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&lt;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b</w:t>
      </w:r>
      <w:r>
        <w:rPr>
          <w:rFonts w:ascii="Times New Roman" w:eastAsia="SimSun" w:hAnsi="Times New Roman"/>
          <w:sz w:val="24"/>
        </w:rPr>
        <w:t xml:space="preserve"> &lt; </w:t>
      </w:r>
      <w:r>
        <w:rPr>
          <w:rFonts w:ascii="Times New Roman" w:eastAsia="SimSun" w:hAnsi="Times New Roman"/>
          <w:i/>
          <w:sz w:val="24"/>
        </w:rPr>
        <w:t xml:space="preserve">y</w:t>
      </w:r>
      <w:r>
        <w:rPr>
          <w:rFonts w:ascii="Times New Roman" w:eastAsia="SimSun" w:hAnsi="Times New Roman"/>
          <w:sz w:val="24"/>
        </w:rPr>
        <w:t xml:space="preserve">，</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&gt;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&gt;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b</w:t>
      </w:r>
      <w:r>
        <w:rPr>
          <w:rFonts w:ascii="Times New Roman" w:eastAsia="SimSun" w:hAnsi="Times New Roman"/>
          <w:sz w:val="24"/>
        </w:rPr>
        <w:t xml:space="preserve"> &gt; </w:t>
      </w:r>
      <w:r>
        <w:rPr>
          <w:rFonts w:ascii="Times New Roman" w:eastAsia="SimSun" w:hAnsi="Times New Roman"/>
          <w:i/>
          <w:sz w:val="24"/>
        </w:rPr>
        <w:t xml:space="preserve">y</w:t>
      </w:r>
      <w:r>
        <w:rPr>
          <w:rFonts w:ascii="Times New Roman" w:eastAsia="SimSun" w:hAnsi="Times New Roman"/>
          <w:sz w:val="24"/>
        </w:rPr>
        <w:t xml:space="preserve">；对非负整数，</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0</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 </w:t>
      </w:r>
      <w:r>
        <w:rPr>
          <w:rFonts w:ascii="Times New Roman" w:eastAsia="SimSun" w:hAnsi="Times New Roman"/>
          <w:i/>
          <w:sz w:val="24"/>
        </w:rPr>
        <w:t xml:space="preserve">b</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。证毕。</w:t>
      </w:r>
    </w:p>
    <w:p>
      <w:pPr>
        <w:spacing w:after="0" w:line="360" w:lineRule="auto"/>
        <w:ind w:firstLine="480"/>
        <w:jc w:val="both"/>
      </w:pPr>
      <w:r>
        <w:rPr>
          <w:rFonts w:ascii="Times New Roman" w:eastAsia="SimSun" w:hAnsi="Times New Roman"/>
          <w:sz w:val="24"/>
        </w:rPr>
        <w:t xml:space="preserve">因此，混合策略的低估集合是两部分低估集合的交集，高估集合是二者的并集，只有规则链本身给出A时才可能出现C→A；收益取决于两者错误的互补性，代价是继承全部高估。作为消融，C-only下限只在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 = </w:t>
      </w:r>
      <w:r>
        <w:rPr>
          <w:rFonts w:ascii="Times New Roman" w:eastAsia="SimSun" w:hAnsi="Times New Roman"/>
          <w:sz w:val="24"/>
        </w:rPr>
        <w:t xml:space="preserve">C</w:t>
      </w:r>
      <w:r>
        <w:rPr>
          <w:rFonts w:ascii="Times New Roman" w:eastAsia="SimSun" w:hAnsi="Times New Roman"/>
          <w:sz w:val="24"/>
        </w:rPr>
        <w:t xml:space="preserve"> 时强制输出C。与把物理知识写入输入、损失或结构的理论引导学习</w:t>
      </w:r>
      <w:r>
        <w:rPr>
          <w:rFonts w:ascii="Times New Roman" w:eastAsia="SimSun" w:hAnsi="Times New Roman"/>
          <w:sz w:val="24"/>
          <w:vertAlign w:val="superscript"/>
        </w:rPr>
        <w:t xml:space="preserve">[202]</w:t>
      </w:r>
      <w:r>
        <w:rPr>
          <w:rFonts w:ascii="Times New Roman" w:eastAsia="SimSun" w:hAnsi="Times New Roman"/>
          <w:sz w:val="24"/>
        </w:rPr>
        <w:t xml:space="preserve">不同，序数下限在决策层约束学习层的影响方向；与拒识机制</w:t>
      </w:r>
      <w:r>
        <w:rPr>
          <w:rFonts w:ascii="Times New Roman" w:eastAsia="SimSun" w:hAnsi="Times New Roman"/>
          <w:sz w:val="24"/>
          <w:vertAlign w:val="superscript"/>
        </w:rPr>
        <w:t xml:space="preserve">[203,204]</w:t>
      </w:r>
      <w:r>
        <w:rPr>
          <w:rFonts w:ascii="Times New Roman" w:eastAsia="SimSun" w:hAnsi="Times New Roman"/>
          <w:sz w:val="24"/>
        </w:rPr>
        <w:t xml:space="preserve">不同，它本身不放弃决策。</w:t>
      </w:r>
    </w:p>
    <w:p>
      <w:pPr>
        <w:keepNext/>
        <w:spacing w:before="120" w:after="120" w:line="360" w:lineRule="auto"/>
      </w:pPr>
      <w:r>
        <w:rPr>
          <w:rFonts w:ascii="Times New Roman" w:eastAsia="SimHei" w:hAnsi="Times New Roman"/>
          <w:b/>
          <w:sz w:val="24"/>
        </w:rPr>
        <w:t xml:space="preserve">5.6.4  多目标策略评价与帕累托选择</w:t>
      </w:r>
    </w:p>
    <w:p>
      <w:pPr>
        <w:spacing w:after="0" w:line="360" w:lineRule="auto"/>
        <w:ind w:firstLine="480"/>
        <w:jc w:val="both"/>
      </w:pPr>
      <w:r>
        <w:rPr>
          <w:rFonts w:ascii="Times New Roman" w:eastAsia="SimSun" w:hAnsi="Times New Roman"/>
          <w:sz w:val="24"/>
        </w:rPr>
        <w:t xml:space="preserve">单一阈值点不能说明学习器、阈值和下限范围的组合如何在安全与质量之间取舍。本章建立多目标策略评价体系（图5.3），策略表示为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π</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ℓ</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i/>
          <w:sz w:val="24"/>
          <w:vertAlign w:val="subscript"/>
        </w:rPr>
        <w:t xml:space="preserve">B</w:t>
      </w:r>
      <w:r>
        <w:rPr>
          <w:rFonts w:ascii="Times New Roman" w:eastAsia="SimSun" w:hAnsi="Times New Roman"/>
          <w:sz w:val="24"/>
        </w:rPr>
        <w:t xml:space="preserve">, </w:t>
      </w:r>
      <w:r>
        <w:rPr>
          <w:rFonts w:ascii="Times New Roman" w:eastAsia="SimSun" w:hAnsi="Times New Roman"/>
          <w:i/>
          <w:sz w:val="24"/>
        </w:rPr>
        <w:t xml:space="preserve">φ</w:t>
      </w:r>
      <w:r>
        <w:rPr>
          <w:rFonts w:ascii="Times New Roman" w:eastAsia="SimSun" w:hAnsi="Times New Roman"/>
          <w:sz w:val="24"/>
        </w:rPr>
        <w:t xml:space="preserve">)</w:t>
      </w:r>
      <w:r>
        <w:rPr>
          <w:rFonts w:ascii="Times New Roman" w:eastAsia="SimSun" w:hAnsi="Times New Roman"/>
          <w:sz w:val="24"/>
        </w:rPr>
        <w:t xml:space="preserve"/>
        <w:tab/>
        <w:t xml:space="preserve">(5-13)</w:t>
      </w:r>
    </w:p>
    <w:p>
      <w:pPr>
        <w:spacing w:after="0" w:line="360" w:lineRule="auto"/>
        <w:ind w:firstLine="480"/>
        <w:jc w:val="both"/>
      </w:pPr>
      <w:r>
        <w:rPr>
          <w:rFonts w:ascii="Times New Roman" w:eastAsia="SimSun" w:hAnsi="Times New Roman"/>
          <w:sz w:val="24"/>
        </w:rPr>
        <w:t xml:space="preserve">学习器 </w:t>
      </w:r>
      <w:r>
        <w:rPr>
          <w:rFonts w:ascii="Times New Roman" w:eastAsia="SimSun" w:hAnsi="Times New Roman"/>
          <w:i/>
          <w:sz w:val="24"/>
        </w:rPr>
        <w:t xml:space="preserve">ℓ</w:t>
      </w:r>
      <w:r>
        <w:rPr>
          <w:rFonts w:ascii="Times New Roman" w:eastAsia="SimSun" w:hAnsi="Times New Roman"/>
          <w:sz w:val="24"/>
        </w:rPr>
        <w:t xml:space="preserve"> 取RF、逻辑回归、序数逻辑回归</w:t>
      </w:r>
      <w:r>
        <w:rPr>
          <w:rFonts w:ascii="Times New Roman" w:eastAsia="SimSun" w:hAnsi="Times New Roman"/>
          <w:sz w:val="24"/>
          <w:vertAlign w:val="superscript"/>
        </w:rPr>
        <w:t xml:space="preserve">[205]</w:t>
      </w:r>
      <w:r>
        <w:rPr>
          <w:rFonts w:ascii="Times New Roman" w:eastAsia="SimSun" w:hAnsi="Times New Roman"/>
          <w:sz w:val="24"/>
        </w:rPr>
        <w:t xml:space="preserve">、RBF核SVM</w:t>
      </w:r>
      <w:r>
        <w:rPr>
          <w:rFonts w:ascii="Times New Roman" w:eastAsia="SimSun" w:hAnsi="Times New Roman"/>
          <w:sz w:val="24"/>
          <w:vertAlign w:val="superscript"/>
        </w:rPr>
        <w:t xml:space="preserve">[206]</w:t>
      </w:r>
      <w:r>
        <w:rPr>
          <w:rFonts w:ascii="Times New Roman" w:eastAsia="SimSun" w:hAnsi="Times New Roman"/>
          <w:sz w:val="24"/>
        </w:rPr>
        <w:t xml:space="preserve">、GBDT</w:t>
      </w:r>
      <w:r>
        <w:rPr>
          <w:rFonts w:ascii="Times New Roman" w:eastAsia="SimSun" w:hAnsi="Times New Roman"/>
          <w:sz w:val="24"/>
          <w:vertAlign w:val="superscript"/>
        </w:rPr>
        <w:t xml:space="preserve">[207]</w:t>
      </w:r>
      <w:r>
        <w:rPr>
          <w:rFonts w:ascii="Times New Roman" w:eastAsia="SimSun" w:hAnsi="Times New Roman"/>
          <w:sz w:val="24"/>
        </w:rPr>
        <w:t xml:space="preserve">和以规则等级为第15个特征的堆叠RF</w:t>
      </w:r>
      <w:r>
        <w:rPr>
          <w:rFonts w:ascii="Times New Roman" w:eastAsia="SimSun" w:hAnsi="Times New Roman"/>
          <w:sz w:val="24"/>
          <w:vertAlign w:val="superscript"/>
        </w:rPr>
        <w:t xml:space="preserve">[208]</w:t>
      </w:r>
      <w:r>
        <w:rPr>
          <w:rFonts w:ascii="Times New Roman" w:eastAsia="SimSun" w:hAnsi="Times New Roman"/>
          <w:sz w:val="24"/>
        </w:rPr>
        <w:t xml:space="preserve">；阈值在0.20—0.90内以0.05为步长构成15×15网格；下限范围 </w:t>
      </w:r>
      <w:r>
        <w:rPr>
          <w:rFonts w:ascii="Times New Roman" w:eastAsia="SimSun" w:hAnsi="Times New Roman"/>
          <w:i/>
          <w:sz w:val="24"/>
        </w:rPr>
        <w:t xml:space="preserve">φ</w:t>
      </w:r>
      <w:r>
        <w:rPr>
          <w:rFonts w:ascii="Times New Roman" w:eastAsia="SimSun" w:hAnsi="Times New Roman"/>
          <w:sz w:val="24"/>
        </w:rPr>
        <w:t xml:space="preserve"> 取无、C-only和序数三种。连同规则链，每批评价6×225×3+1=4051个策略，全部共享特征、分组折与固定超参数。</w:t>
      </w:r>
    </w:p>
    <w:p>
      <w:pPr>
        <w:keepNext/>
        <w:spacing w:before="120" w:after="60"/>
        <w:jc w:val="center"/>
      </w:pPr>
      <w:r>
        <w:rPr>
          <w:noProof/>
          <w:lang w:eastAsia="zh-CN"/>
        </w:rPr>
        <w:drawing>
          <wp:inline distT="0" distB="0" distL="0" distR="0">
            <wp:extent cx="5486400" cy="2501660"/>
            <wp:effectExtent l="0" t="0" r="0" b="0"/>
            <wp:docPr id="3" name="图片 3" descr="图5.3  多目标策略评价与帕累托选择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_3_evaluation_system.png"/>
                    <pic:cNvPicPr/>
                  </pic:nvPicPr>
                  <pic:blipFill>
                    <a:blip r:embed="rId102"/>
                    <a:stretch>
                      <a:fillRect/>
                    </a:stretch>
                  </pic:blipFill>
                  <pic:spPr>
                    <a:xfrm>
                      <a:off x="0" y="0"/>
                      <a:ext cx="5486400" cy="2501660"/>
                    </a:xfrm>
                    <a:prstGeom prst="rect">
                      <a:avLst/>
                    </a:prstGeom>
                  </pic:spPr>
                </pic:pic>
              </a:graphicData>
            </a:graphic>
          </wp:inline>
        </w:drawing>
      </w:r>
    </w:p>
    <w:p>
      <w:pPr>
        <w:spacing w:after="120"/>
        <w:jc w:val="center"/>
      </w:pPr>
      <w:r>
        <w:rPr>
          <w:rFonts w:ascii="Times New Roman" w:eastAsia="SimSun" w:hAnsi="Times New Roman"/>
          <w:sz w:val="21"/>
        </w:rPr>
        <w:t xml:space="preserve">图5.3  多目标策略评价与帕累托选择体系</w:t>
      </w:r>
    </w:p>
    <w:p>
      <w:pPr>
        <w:spacing w:after="0" w:line="360" w:lineRule="auto"/>
        <w:ind w:firstLine="480"/>
        <w:jc w:val="both"/>
      </w:pPr>
      <w:r>
        <w:rPr>
          <w:rFonts w:ascii="Times New Roman" w:eastAsia="SimSun" w:hAnsi="Times New Roman"/>
          <w:sz w:val="24"/>
        </w:rPr>
        <w:t xml:space="preserve">各策略由同一组OOF概率得到混淆矩阵与目标向量</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b/>
          <w:i/>
          <w:sz w:val="24"/>
        </w:rPr>
        <w:t xml:space="preserve">F</w:t>
      </w:r>
      <w:r>
        <w:rPr>
          <w:rFonts w:ascii="Times New Roman" w:eastAsia="SimSun" w:hAnsi="Times New Roman"/>
          <w:sz w:val="24"/>
        </w:rPr>
        <w:t xml:space="preserve">(</w:t>
      </w:r>
      <w:r>
        <w:rPr>
          <w:rFonts w:ascii="Times New Roman" w:eastAsia="SimSun" w:hAnsi="Times New Roman"/>
          <w:i/>
          <w:sz w:val="24"/>
        </w:rPr>
        <w:t xml:space="preserve">π</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MacroF</w:t>
      </w:r>
      <w:r>
        <w:rPr>
          <w:rFonts w:ascii="Times New Roman" w:eastAsia="SimSun" w:hAnsi="Times New Roman"/>
          <w:sz w:val="24"/>
        </w:rPr>
        <w:t xml:space="preserve">1</w:t>
      </w:r>
      <w:r>
        <w:rPr>
          <w:rFonts w:ascii="Times New Roman" w:eastAsia="SimSun" w:hAnsi="Times New Roman"/>
          <w:sz w:val="24"/>
        </w:rPr>
        <w:t xml:space="preserve">, </w:t>
      </w:r>
      <w:r>
        <w:rPr>
          <w:rFonts w:ascii="Times New Roman" w:eastAsia="SimSun" w:hAnsi="Times New Roman"/>
          <w:sz w:val="24"/>
        </w:rPr>
        <w:t xml:space="preserve">BA</w:t>
      </w:r>
      <w:r>
        <w:rPr>
          <w:rFonts w:ascii="Times New Roman" w:eastAsia="SimSun" w:hAnsi="Times New Roman"/>
          <w:sz w:val="24"/>
        </w:rPr>
        <w:t xml:space="preserve">, </w:t>
      </w:r>
      <w:r>
        <w:rPr>
          <w:rFonts w:ascii="Times New Roman" w:eastAsia="SimSun" w:hAnsi="Times New Roman"/>
          <w:i/>
          <w:sz w:val="24"/>
        </w:rPr>
        <w:t xml:space="preserve">R</w:t>
      </w:r>
      <w:r>
        <w:rPr>
          <w:rFonts w:ascii="Times New Roman" w:eastAsia="SimSun" w:hAnsi="Times New Roman"/>
          <w:i/>
          <w:sz w:val="24"/>
          <w:vertAlign w:val="subscript"/>
        </w:rPr>
        <w:t xml:space="preserve">C</w:t>
      </w:r>
      <w:r>
        <w:rPr>
          <w:rFonts w:ascii="Times New Roman" w:eastAsia="SimSun" w:hAnsi="Times New Roman"/>
          <w:sz w:val="24"/>
        </w:rPr>
        <w:t xml:space="preserve">,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L</w:t>
      </w:r>
      <w:r>
        <w:rPr>
          <w:rFonts w:ascii="Times New Roman" w:eastAsia="SimSun" w:hAnsi="Times New Roman"/>
          <w:sz w:val="24"/>
          <w:vertAlign w:val="subscript"/>
        </w:rPr>
        <w:t xml:space="preserve">safe</w:t>
      </w:r>
      <w:r>
        <w:rPr>
          <w:rFonts w:ascii="Times New Roman" w:eastAsia="SimSun" w:hAnsi="Times New Roman"/>
          <w:sz w:val="24"/>
        </w:rPr>
        <w:t xml:space="preserve">/</w:t>
      </w:r>
      <w:r>
        <w:rPr>
          <w:rFonts w:ascii="Times New Roman" w:eastAsia="SimSun" w:hAnsi="Times New Roman"/>
          <w:i/>
          <w:sz w:val="24"/>
        </w:rPr>
        <w:t xml:space="preserve">L</w:t>
      </w:r>
      <w:r>
        <w:rPr>
          <w:rFonts w:ascii="Times New Roman" w:eastAsia="SimSun" w:hAnsi="Times New Roman"/>
          <w:sz w:val="24"/>
          <w:vertAlign w:val="subscript"/>
        </w:rPr>
        <w:t xml:space="preserve">max</w:t>
      </w:r>
      <w:r>
        <w:rPr>
          <w:rFonts w:ascii="Times New Roman" w:eastAsia="SimSun" w:hAnsi="Times New Roman"/>
          <w:sz w:val="24"/>
        </w:rPr>
        <w:t xml:space="preserve">)</w:t>
      </w:r>
      <w:r>
        <w:rPr>
          <w:rFonts w:ascii="Times New Roman" w:eastAsia="SimSun" w:hAnsi="Times New Roman"/>
          <w:sz w:val="24"/>
        </w:rPr>
        <w:t xml:space="preserve"/>
        <w:tab/>
        <w:t xml:space="preserve">(5-14)</w:t>
      </w:r>
    </w:p>
    <w:p>
      <w:pPr>
        <w:spacing w:after="0" w:line="360" w:lineRule="auto"/>
        <w:ind w:firstLine="480"/>
        <w:jc w:val="both"/>
      </w:pPr>
      <w:r>
        <w:rPr>
          <w:rFonts w:ascii="Times New Roman" w:eastAsia="SimSun" w:hAnsi="Times New Roman"/>
          <w:sz w:val="24"/>
        </w:rPr>
        <w:t xml:space="preserve">其中 </w:t>
      </w:r>
      <w:r>
        <w:rPr>
          <w:rFonts w:ascii="Times New Roman" w:eastAsia="SimSun" w:hAnsi="Times New Roman"/>
          <w:i/>
          <w:sz w:val="24"/>
        </w:rPr>
        <w:t xml:space="preserve">L</w:t>
      </w:r>
      <w:r>
        <w:rPr>
          <w:rFonts w:ascii="Times New Roman" w:eastAsia="SimSun" w:hAnsi="Times New Roman"/>
          <w:sz w:val="24"/>
          <w:vertAlign w:val="subscript"/>
        </w:rPr>
        <w:t xml:space="preserve">max</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N</w:t>
      </w:r>
      <w:r>
        <w:rPr>
          <w:rFonts w:ascii="Times New Roman" w:eastAsia="SimSun" w:hAnsi="Times New Roman"/>
          <w:i/>
          <w:sz w:val="24"/>
          <w:vertAlign w:val="subscript"/>
        </w:rPr>
        <w:t xml:space="preserve">C</w:t>
      </w:r>
      <w:r>
        <w:rPr>
          <w:rFonts w:ascii="Times New Roman" w:eastAsia="SimSun" w:hAnsi="Times New Roman"/>
          <w:sz w:val="24"/>
        </w:rPr>
        <w:t xml:space="preserve">，四项均越大越好；若 </w:t>
      </w:r>
      <w:r>
        <w:rPr>
          <w:rFonts w:ascii="Times New Roman" w:eastAsia="SimSun" w:hAnsi="Times New Roman"/>
          <w:i/>
          <w:sz w:val="24"/>
        </w:rPr>
        <w:t xml:space="preserve">π</w:t>
      </w:r>
      <w:r>
        <w:rPr>
          <w:rFonts w:ascii="Times New Roman" w:eastAsia="SimSun" w:hAnsi="Times New Roman"/>
          <w:sz w:val="24"/>
        </w:rPr>
        <w:t xml:space="preserve">′</w:t>
      </w:r>
      <w:r>
        <w:rPr>
          <w:rFonts w:ascii="Times New Roman" w:eastAsia="SimSun" w:hAnsi="Times New Roman"/>
          <w:sz w:val="24"/>
        </w:rPr>
        <w:t xml:space="preserve"> 各项不劣于 </w:t>
      </w:r>
      <w:r>
        <w:rPr>
          <w:rFonts w:ascii="Times New Roman" w:eastAsia="SimSun" w:hAnsi="Times New Roman"/>
          <w:i/>
          <w:sz w:val="24"/>
        </w:rPr>
        <w:t xml:space="preserve">π</w:t>
      </w:r>
      <w:r>
        <w:rPr>
          <w:rFonts w:ascii="Times New Roman" w:eastAsia="SimSun" w:hAnsi="Times New Roman"/>
          <w:sz w:val="24"/>
        </w:rPr>
        <w:t xml:space="preserve"> 且至少一项严格更优，则 </w:t>
      </w:r>
      <w:r>
        <w:rPr>
          <w:rFonts w:ascii="Times New Roman" w:eastAsia="SimSun" w:hAnsi="Times New Roman"/>
          <w:i/>
          <w:sz w:val="24"/>
        </w:rPr>
        <w:t xml:space="preserve">π</w:t>
      </w:r>
      <w:r>
        <w:rPr>
          <w:rFonts w:ascii="Times New Roman" w:eastAsia="SimSun" w:hAnsi="Times New Roman"/>
          <w:sz w:val="24"/>
        </w:rPr>
        <w:t xml:space="preserve"> 被支配。升级率、A类高估数和复核率作为资源坐标单独报告，不参与支配。约束在评价前声明为两套：基准约束 </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A</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i/>
          <w:sz w:val="24"/>
        </w:rPr>
        <w:t xml:space="preserve">R</w:t>
      </w:r>
      <w:r>
        <w:rPr>
          <w:rFonts w:ascii="Times New Roman" w:eastAsia="SimSun" w:hAnsi="Times New Roman"/>
          <w:i/>
          <w:sz w:val="24"/>
          <w:vertAlign w:val="subscript"/>
        </w:rPr>
        <w:t xml:space="preserve">C</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5</w:t>
      </w:r>
      <w:r>
        <w:rPr>
          <w:rFonts w:ascii="Times New Roman" w:eastAsia="SimSun" w:hAnsi="Times New Roman"/>
          <w:sz w:val="24"/>
        </w:rPr>
        <w:t xml:space="preserve">；物理下限约束再要求每个单元 </w:t>
      </w:r>
      <w:r>
        <w:rPr>
          <w:rFonts w:ascii="Times New Roman" w:eastAsia="SimSun" w:hAnsi="Times New Roman"/>
          <w:i/>
          <w:sz w:val="24"/>
        </w:rPr>
        <w:t xml:space="preserve">ŷ</w:t>
      </w:r>
      <w:r>
        <w:rPr>
          <w:rFonts w:ascii="Times New Roman" w:eastAsia="SimSun" w:hAnsi="Times New Roman"/>
          <w:sz w:val="24"/>
        </w:rPr>
        <w:t xml:space="preserve"> ≥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。可行策略经严格帕累托筛选后，按“安全损失最小—平衡准确率最大—宏平均F1最大—升级率最小—A类高估最少”的词典序选择运行点，并以到理想点距离校核；各策略族以原点为参考点的超体积</w:t>
      </w:r>
      <w:r>
        <w:rPr>
          <w:rFonts w:ascii="Times New Roman" w:eastAsia="SimSun" w:hAnsi="Times New Roman"/>
          <w:sz w:val="24"/>
          <w:vertAlign w:val="superscript"/>
        </w:rPr>
        <w:t xml:space="preserve">[209]</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HV</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Λ</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vertAlign w:val="subscript"/>
        </w:rPr>
        <w:t xml:space="preserve">π</w:t>
      </w:r>
      <w:r>
        <w:rPr>
          <w:rFonts w:ascii="Times New Roman" w:eastAsia="SimSun" w:hAnsi="Times New Roman"/>
          <w:sz w:val="24"/>
          <w:vertAlign w:val="subscript"/>
        </w:rPr>
        <w:t xml:space="preserve">∈</w:t>
      </w:r>
      <w:r>
        <w:rPr>
          <w:rFonts w:ascii="Times New Roman" w:eastAsia="SimSun" w:hAnsi="Times New Roman"/>
          <w:i/>
          <w:sz w:val="24"/>
          <w:vertAlign w:val="subscript"/>
        </w:rPr>
        <w:t xml:space="preserve">P</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i/>
          <w:sz w:val="24"/>
        </w:rPr>
        <w:t xml:space="preserve">F</w:t>
      </w:r>
      <w:r>
        <w:rPr>
          <w:rFonts w:ascii="Times New Roman" w:eastAsia="SimSun" w:hAnsi="Times New Roman"/>
          <w:sz w:val="24"/>
          <w:vertAlign w:val="subscript"/>
        </w:rPr>
        <w:t xml:space="preserve">1</w:t>
      </w:r>
      <w:r>
        <w:rPr>
          <w:rFonts w:ascii="Times New Roman" w:eastAsia="SimSun" w:hAnsi="Times New Roman"/>
          <w:sz w:val="24"/>
        </w:rPr>
        <w:t xml:space="preserve">(</w:t>
      </w:r>
      <w:r>
        <w:rPr>
          <w:rFonts w:ascii="Times New Roman" w:eastAsia="SimSun" w:hAnsi="Times New Roman"/>
          <w:i/>
          <w:sz w:val="24"/>
        </w:rPr>
        <w:t xml:space="preserve">π</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 </w:t>
      </w:r>
      <w:r>
        <w:rPr>
          <w:rFonts w:ascii="Cambria Math" w:eastAsia="Cambria Math" w:hAnsi="Cambria Math"/>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i/>
          <w:sz w:val="24"/>
        </w:rPr>
        <w:t xml:space="preserve">F</w:t>
      </w:r>
      <w:r>
        <w:rPr>
          <w:rFonts w:ascii="Times New Roman" w:eastAsia="SimSun" w:hAnsi="Times New Roman"/>
          <w:sz w:val="24"/>
          <w:vertAlign w:val="subscript"/>
        </w:rPr>
        <w:t xml:space="preserve">4</w:t>
      </w:r>
      <w:r>
        <w:rPr>
          <w:rFonts w:ascii="Times New Roman" w:eastAsia="SimSun" w:hAnsi="Times New Roman"/>
          <w:sz w:val="24"/>
        </w:rPr>
        <w:t xml:space="preserve">(</w:t>
      </w:r>
      <w:r>
        <w:rPr>
          <w:rFonts w:ascii="Times New Roman" w:eastAsia="SimSun" w:hAnsi="Times New Roman"/>
          <w:i/>
          <w:sz w:val="24"/>
        </w:rPr>
        <w:t xml:space="preserve">π</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ab/>
        <w:t xml:space="preserve">(5-15)</w:t>
      </w:r>
    </w:p>
    <w:p>
      <w:pPr>
        <w:spacing w:after="0" w:line="360" w:lineRule="auto"/>
        <w:ind w:firstLine="480"/>
        <w:jc w:val="both"/>
      </w:pPr>
      <w:r>
        <w:rPr>
          <w:rFonts w:ascii="Times New Roman" w:eastAsia="SimSun" w:hAnsi="Times New Roman"/>
          <w:sz w:val="24"/>
        </w:rPr>
        <w:t xml:space="preserve">度量质量，</w:t>
      </w:r>
      <w:r>
        <w:rPr>
          <w:rFonts w:ascii="Times New Roman" w:eastAsia="SimSun" w:hAnsi="Times New Roman"/>
          <w:sz w:val="24"/>
        </w:rPr>
        <w:t xml:space="preserve">Λ</w:t>
      </w:r>
      <w:r>
        <w:rPr>
          <w:rFonts w:ascii="Times New Roman" w:eastAsia="SimSun" w:hAnsi="Times New Roman"/>
          <w:sz w:val="24"/>
        </w:rPr>
        <w:t xml:space="preserve"> 为勒贝格测度。原始批次上选出的策略冻结后迁移到5个附加批次检验；体系输出选中策略、可行前沿、超体积和被淘汰策略的约束原因，而不是单一分数。</w:t>
      </w:r>
    </w:p>
    <w:p>
      <w:pPr>
        <w:keepNext/>
        <w:spacing w:before="120" w:after="120" w:line="360" w:lineRule="auto"/>
      </w:pPr>
      <w:r>
        <w:rPr>
          <w:rFonts w:ascii="Times New Roman" w:eastAsia="SimHei" w:hAnsi="Times New Roman"/>
          <w:b/>
          <w:sz w:val="24"/>
        </w:rPr>
        <w:t xml:space="preserve">5.6.5  在线分级与动态更新流程</w:t>
      </w:r>
    </w:p>
    <w:p>
      <w:pPr>
        <w:spacing w:after="0" w:line="360" w:lineRule="auto"/>
        <w:ind w:firstLine="480"/>
        <w:jc w:val="both"/>
      </w:pPr>
      <w:r>
        <w:rPr>
          <w:rFonts w:ascii="Times New Roman" w:eastAsia="SimSun" w:hAnsi="Times New Roman"/>
          <w:sz w:val="24"/>
        </w:rPr>
        <w:t xml:space="preserve">冻结的策略按以下流程在线分级：（1）冻结单元键 </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w:t>
      </w:r>
      <w:r>
        <w:rPr>
          <w:rFonts w:ascii="Times New Roman" w:eastAsia="SimSun" w:hAnsi="Times New Roman"/>
          <w:i/>
          <w:sz w:val="24"/>
        </w:rPr>
        <w:t xml:space="preserve">w</w:t>
      </w:r>
      <w:r>
        <w:rPr>
          <w:rFonts w:ascii="Times New Roman" w:eastAsia="SimSun" w:hAnsi="Times New Roman"/>
          <w:sz w:val="24"/>
        </w:rPr>
        <w:t xml:space="preserve">, </w:t>
      </w:r>
      <w:r>
        <w:rPr>
          <w:rFonts w:ascii="Times New Roman" w:eastAsia="SimSun" w:hAnsi="Times New Roman"/>
          <w:i/>
          <w:sz w:val="24"/>
        </w:rPr>
        <w:t xml:space="preserve">t</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，按式（5-2）计算可采纳性并列出缺失指标；（2）不可采纳值只进溯源记录；（3）独立计算规则等级与学习等级，按式（5-12）施加下限并记录调高级数；（4）最大类别概率低于复核阈值 </w:t>
      </w:r>
      <w:r>
        <w:rPr>
          <w:rFonts w:ascii="Times New Roman" w:eastAsia="SimSun" w:hAnsi="Times New Roman"/>
          <w:i/>
          <w:sz w:val="24"/>
        </w:rPr>
        <w:t xml:space="preserve">u</w:t>
      </w:r>
      <w:r>
        <w:rPr>
          <w:rFonts w:ascii="Times New Roman" w:eastAsia="SimSun" w:hAnsi="Times New Roman"/>
          <w:sz w:val="24"/>
        </w:rPr>
        <w:t xml:space="preserve"> 或存在巡检候选时生成复核任务，等级标记为暂定；（5）发布等级、触发门控、证据状态、溯源、模型版本与复核状态。动态性体现为快照更新而非参数漂移：工况有效窗切换、新观测或复核记录到达、规则或模型版本更新均触发新快照；迟到记录不回写早期结论，权重、阈值与模型在两次发布之间冻结，保证同一快照与证据集得到相同输出。</w:t>
      </w:r>
    </w:p>
    <w:p>
      <w:pPr>
        <w:keepNext/>
        <w:spacing w:before="240" w:after="120" w:line="360" w:lineRule="auto"/>
      </w:pPr>
      <w:r>
        <w:rPr>
          <w:rFonts w:ascii="Times New Roman" w:eastAsia="SimHei" w:hAnsi="Times New Roman"/>
          <w:b/>
          <w:sz w:val="24"/>
        </w:rPr>
        <w:t xml:space="preserve">5.7  安全等级划分与预警阈值</w:t>
      </w:r>
    </w:p>
    <w:p>
      <w:pPr>
        <w:spacing w:after="0" w:line="360" w:lineRule="auto"/>
        <w:ind w:firstLine="480"/>
        <w:jc w:val="both"/>
      </w:pPr>
      <w:r>
        <w:rPr>
          <w:rFonts w:ascii="Times New Roman" w:eastAsia="SimSun" w:hAnsi="Times New Roman"/>
          <w:sz w:val="24"/>
        </w:rPr>
        <w:t xml:space="preserve">安全等级分为A级（安全）、B级（基本安全）和C级（不安全），由综合得分与门控共同决定，门控只使等级向更高风险移动。表5.4汇总分级与门控阈值，并给出与证据状态挂钩的预警建议。</w:t>
      </w:r>
    </w:p>
    <w:p>
      <w:pPr>
        <w:keepNext/>
        <w:spacing w:before="120" w:after="60" w:line="240" w:lineRule="auto"/>
        <w:jc w:val="center"/>
      </w:pPr>
      <w:r>
        <w:rPr>
          <w:rFonts w:ascii="Times New Roman" w:eastAsia="SimSun" w:hAnsi="Times New Roman"/>
          <w:sz w:val="21"/>
        </w:rPr>
        <w:t xml:space="preserve">表5.4  安全等级划分、门控阈值与预警响应</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750"/>
        <w:gridCol w:w="4400"/>
        <w:gridCol w:w="3256"/>
      </w:tblGrid>
      <w:tr>
        <w:trPr>
          <w:tblHeader/>
          <w:cantSplit/>
          <w:jc w:val="center"/>
        </w:trPr>
        <w:tc>
          <w:tcPr>
            <w:tcW w:w="17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类别</w:t>
            </w:r>
          </w:p>
        </w:tc>
        <w:tc>
          <w:tcPr>
            <w:tcW w:w="4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阈值或条件</w:t>
            </w:r>
          </w:p>
        </w:tc>
        <w:tc>
          <w:tcPr>
            <w:tcW w:w="325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依据与说明</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综合得分</w:t>
            </w:r>
          </w:p>
        </w:tc>
        <w:tc>
          <w:tcPr>
            <w:tcW w:w="4400" w:type="dxa"/>
            <w:vAlign w:val="center"/>
          </w:tcPr>
          <w:p>
            <w:pPr>
              <w:spacing w:before="20" w:after="20" w:line="240" w:lineRule="auto"/>
              <w:jc w:val="left"/>
            </w:pPr>
            <w:r>
              <w:rPr>
                <w:rFonts w:ascii="Times New Roman" w:eastAsia="SimSun" w:hAnsi="Times New Roman"/>
                <w:i/>
                <w:sz w:val="21"/>
              </w:rPr>
              <w:t xml:space="preserve">S</w:t>
            </w:r>
            <w:r>
              <w:rPr>
                <w:rFonts w:ascii="Times New Roman" w:eastAsia="SimSun" w:hAnsi="Times New Roman"/>
                <w:sz w:val="21"/>
              </w:rPr>
              <w:t xml:space="preserve"> ≥ </w:t>
            </w:r>
            <w:r>
              <w:rPr>
                <w:rFonts w:ascii="Times New Roman" w:eastAsia="SimSun" w:hAnsi="Times New Roman"/>
                <w:sz w:val="21"/>
              </w:rPr>
              <w:t xml:space="preserve">8</w:t>
            </w:r>
            <w:r>
              <w:rPr>
                <w:rFonts w:ascii="Times New Roman" w:eastAsia="SimSun" w:hAnsi="Times New Roman"/>
                <w:sz w:val="21"/>
              </w:rPr>
              <w:t xml:space="preserve">0</w:t>
            </w:r>
            <w:r>
              <w:rPr>
                <w:rFonts w:ascii="Times New Roman" w:eastAsia="SimSun" w:hAnsi="Times New Roman"/>
                <w:sz w:val="21"/>
              </w:rPr>
              <w:t xml:space="preserve"> 为A；</w:t>
            </w:r>
            <w:r>
              <w:rPr>
                <w:rFonts w:ascii="Times New Roman" w:eastAsia="SimSun" w:hAnsi="Times New Roman"/>
                <w:sz w:val="21"/>
              </w:rPr>
              <w:t xml:space="preserve">4</w:t>
            </w:r>
            <w:r>
              <w:rPr>
                <w:rFonts w:ascii="Times New Roman" w:eastAsia="SimSun" w:hAnsi="Times New Roman"/>
                <w:sz w:val="21"/>
              </w:rPr>
              <w:t xml:space="preserve">0</w:t>
            </w:r>
            <w:r>
              <w:rPr>
                <w:rFonts w:ascii="Times New Roman" w:eastAsia="SimSun" w:hAnsi="Times New Roman"/>
                <w:sz w:val="21"/>
              </w:rPr>
              <w:t xml:space="preserve"> ≤ </w:t>
            </w:r>
            <w:r>
              <w:rPr>
                <w:rFonts w:ascii="Times New Roman" w:eastAsia="SimSun" w:hAnsi="Times New Roman"/>
                <w:i/>
                <w:sz w:val="21"/>
              </w:rPr>
              <w:t xml:space="preserve">S</w:t>
            </w:r>
            <w:r>
              <w:rPr>
                <w:rFonts w:ascii="Times New Roman" w:eastAsia="SimSun" w:hAnsi="Times New Roman"/>
                <w:sz w:val="21"/>
              </w:rPr>
              <w:t xml:space="preserve"> &lt; </w:t>
            </w:r>
            <w:r>
              <w:rPr>
                <w:rFonts w:ascii="Times New Roman" w:eastAsia="SimSun" w:hAnsi="Times New Roman"/>
                <w:sz w:val="21"/>
              </w:rPr>
              <w:t xml:space="preserve">8</w:t>
            </w:r>
            <w:r>
              <w:rPr>
                <w:rFonts w:ascii="Times New Roman" w:eastAsia="SimSun" w:hAnsi="Times New Roman"/>
                <w:sz w:val="21"/>
              </w:rPr>
              <w:t xml:space="preserve">0</w:t>
            </w:r>
            <w:r>
              <w:rPr>
                <w:rFonts w:ascii="Times New Roman" w:eastAsia="SimSun" w:hAnsi="Times New Roman"/>
                <w:sz w:val="21"/>
              </w:rPr>
              <w:t xml:space="preserve"> 为B；</w:t>
            </w:r>
            <w:r>
              <w:rPr>
                <w:rFonts w:ascii="Times New Roman" w:eastAsia="SimSun" w:hAnsi="Times New Roman"/>
                <w:i/>
                <w:sz w:val="21"/>
              </w:rPr>
              <w:t xml:space="preserve">S</w:t>
            </w:r>
            <w:r>
              <w:rPr>
                <w:rFonts w:ascii="Times New Roman" w:eastAsia="SimSun" w:hAnsi="Times New Roman"/>
                <w:sz w:val="21"/>
              </w:rPr>
              <w:t xml:space="preserve"> &lt; </w:t>
            </w:r>
            <w:r>
              <w:rPr>
                <w:rFonts w:ascii="Times New Roman" w:eastAsia="SimSun" w:hAnsi="Times New Roman"/>
                <w:sz w:val="21"/>
              </w:rPr>
              <w:t xml:space="preserve">4</w:t>
            </w:r>
            <w:r>
              <w:rPr>
                <w:rFonts w:ascii="Times New Roman" w:eastAsia="SimSun" w:hAnsi="Times New Roman"/>
                <w:sz w:val="21"/>
              </w:rPr>
              <w:t xml:space="preserve">0</w:t>
            </w:r>
            <w:r>
              <w:rPr>
                <w:rFonts w:ascii="Times New Roman" w:eastAsia="SimSun" w:hAnsi="Times New Roman"/>
                <w:sz w:val="21"/>
              </w:rPr>
              <w:t xml:space="preserve"> 为C</w:t>
            </w:r>
          </w:p>
        </w:tc>
        <w:tc>
          <w:tcPr>
            <w:tcW w:w="3256" w:type="dxa"/>
            <w:vAlign w:val="center"/>
          </w:tcPr>
          <w:p>
            <w:pPr>
              <w:spacing w:before="20" w:after="20" w:line="240" w:lineRule="auto"/>
              <w:jc w:val="left"/>
            </w:pPr>
            <w:r>
              <w:rPr>
                <w:rFonts w:ascii="Times New Roman" w:eastAsia="SimSun" w:hAnsi="Times New Roman"/>
                <w:sz w:val="21"/>
              </w:rPr>
              <w:t xml:space="preserve">交付模型配置，未经现场标定</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渗流门控C1、C4、C5</w:t>
            </w:r>
          </w:p>
        </w:tc>
        <w:tc>
          <w:tcPr>
            <w:tcW w:w="4400" w:type="dxa"/>
            <w:vAlign w:val="center"/>
          </w:tcPr>
          <w:p>
            <w:pPr>
              <w:spacing w:before="20" w:after="20" w:line="240" w:lineRule="auto"/>
              <w:jc w:val="left"/>
            </w:pPr>
            <w:r>
              <w:rPr>
                <w:rFonts w:ascii="Times New Roman" w:eastAsia="SimSun" w:hAnsi="Times New Roman"/>
                <w:i/>
                <w:sz w:val="21"/>
              </w:rPr>
              <w:t xml:space="preserve">i</w:t>
            </w:r>
            <w:r>
              <w:rPr>
                <w:rFonts w:ascii="Times New Roman" w:eastAsia="SimSun" w:hAnsi="Times New Roman"/>
                <w:sz w:val="21"/>
              </w:rPr>
              <w:t xml:space="preserve">/</w:t>
            </w:r>
            <w:r>
              <w:rPr>
                <w:rFonts w:ascii="Times New Roman" w:eastAsia="SimSun" w:hAnsi="Times New Roman"/>
                <w:i/>
                <w:sz w:val="21"/>
              </w:rPr>
              <w:t xml:space="preserve">i</w:t>
            </w:r>
            <w:r>
              <w:rPr>
                <w:rFonts w:ascii="Times New Roman" w:eastAsia="SimSun" w:hAnsi="Times New Roman"/>
                <w:sz w:val="21"/>
                <w:vertAlign w:val="subscript"/>
              </w:rPr>
              <w:t xml:space="preserve">cr</w:t>
            </w:r>
            <w:r>
              <w:rPr>
                <w:rFonts w:ascii="Times New Roman" w:eastAsia="SimSun" w:hAnsi="Times New Roman"/>
                <w:sz w:val="21"/>
              </w:rPr>
              <w:t xml:space="preserve"> ≥ </w:t>
            </w:r>
            <w:r>
              <w:rPr>
                <w:rFonts w:ascii="Times New Roman" w:eastAsia="SimSun" w:hAnsi="Times New Roman"/>
                <w:sz w:val="21"/>
              </w:rPr>
              <w:t xml:space="preserve">0</w:t>
            </w:r>
            <w:r>
              <w:rPr>
                <w:rFonts w:ascii="Times New Roman" w:eastAsia="SimSun" w:hAnsi="Times New Roman"/>
                <w:sz w:val="21"/>
              </w:rPr>
              <w:t xml:space="preserve">.</w:t>
            </w:r>
            <w:r>
              <w:rPr>
                <w:rFonts w:ascii="Times New Roman" w:eastAsia="SimSun" w:hAnsi="Times New Roman"/>
                <w:sz w:val="21"/>
              </w:rPr>
              <w:t xml:space="preserve">8</w:t>
            </w:r>
            <w:r>
              <w:rPr>
                <w:rFonts w:ascii="Times New Roman" w:eastAsia="SimSun" w:hAnsi="Times New Roman"/>
                <w:sz w:val="21"/>
              </w:rPr>
              <w:t xml:space="preserve"> 不优于B；</w:t>
            </w:r>
            <w:r>
              <w:rPr>
                <w:rFonts w:ascii="Times New Roman" w:eastAsia="SimSun" w:hAnsi="Times New Roman"/>
                <w:sz w:val="21"/>
              </w:rPr>
              <w:t xml:space="preserve">≥ </w:t>
            </w:r>
            <w:r>
              <w:rPr>
                <w:rFonts w:ascii="Times New Roman" w:eastAsia="SimSun" w:hAnsi="Times New Roman"/>
                <w:sz w:val="21"/>
              </w:rPr>
              <w:t xml:space="preserve">1</w:t>
            </w:r>
            <w:r>
              <w:rPr>
                <w:rFonts w:ascii="Times New Roman" w:eastAsia="SimSun" w:hAnsi="Times New Roman"/>
                <w:sz w:val="21"/>
              </w:rPr>
              <w:t xml:space="preserve">.</w:t>
            </w:r>
            <w:r>
              <w:rPr>
                <w:rFonts w:ascii="Times New Roman" w:eastAsia="SimSun" w:hAnsi="Times New Roman"/>
                <w:sz w:val="21"/>
              </w:rPr>
              <w:t xml:space="preserve">0</w:t>
            </w:r>
            <w:r>
              <w:rPr>
                <w:rFonts w:ascii="Times New Roman" w:eastAsia="SimSun" w:hAnsi="Times New Roman"/>
                <w:sz w:val="21"/>
              </w:rPr>
              <w:t xml:space="preserve"> 为C</w:t>
            </w:r>
          </w:p>
        </w:tc>
        <w:tc>
          <w:tcPr>
            <w:tcW w:w="3256" w:type="dxa"/>
            <w:vAlign w:val="center"/>
          </w:tcPr>
          <w:p>
            <w:pPr>
              <w:spacing w:before="20" w:after="20" w:line="240" w:lineRule="auto"/>
              <w:jc w:val="left"/>
            </w:pPr>
            <w:r>
              <w:rPr>
                <w:rFonts w:ascii="Times New Roman" w:eastAsia="SimSun" w:hAnsi="Times New Roman"/>
                <w:sz w:val="21"/>
              </w:rPr>
              <w:t xml:space="preserve">Terzaghi判据；适用部位待专业复核</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抗滑门控D1、D2</w:t>
            </w:r>
          </w:p>
        </w:tc>
        <w:tc>
          <w:tcPr>
            <w:tcW w:w="4400" w:type="dxa"/>
            <w:vAlign w:val="center"/>
          </w:tcPr>
          <w:p>
            <w:pPr>
              <w:spacing w:before="20" w:after="20" w:line="240" w:lineRule="auto"/>
              <w:jc w:val="left"/>
            </w:pPr>
            <w:r>
              <w:rPr>
                <w:rFonts w:ascii="Times New Roman" w:eastAsia="SimSun" w:hAnsi="Times New Roman"/>
                <w:sz w:val="21"/>
              </w:rPr>
              <w:t xml:space="preserve">背水坡FoS&lt;1.35、临水坡FoS&lt;1.25不优于B；FoS&lt;1.05为C</w:t>
            </w:r>
          </w:p>
        </w:tc>
        <w:tc>
          <w:tcPr>
            <w:tcW w:w="3256" w:type="dxa"/>
            <w:vAlign w:val="center"/>
          </w:tcPr>
          <w:p>
            <w:pPr>
              <w:spacing w:before="20" w:after="20" w:line="240" w:lineRule="auto"/>
              <w:jc w:val="left"/>
            </w:pPr>
            <w:r>
              <w:rPr>
                <w:rFonts w:ascii="Times New Roman" w:eastAsia="SimSun" w:hAnsi="Times New Roman"/>
                <w:sz w:val="21"/>
              </w:rPr>
              <w:t xml:space="preserve">允许值引自GB 50286—2013</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其他门控</w:t>
            </w:r>
          </w:p>
        </w:tc>
        <w:tc>
          <w:tcPr>
            <w:tcW w:w="4400" w:type="dxa"/>
            <w:vAlign w:val="center"/>
          </w:tcPr>
          <w:p>
            <w:pPr>
              <w:spacing w:before="20" w:after="20" w:line="240" w:lineRule="auto"/>
              <w:jc w:val="left"/>
            </w:pPr>
            <w:r>
              <w:rPr>
                <w:rFonts w:ascii="Times New Roman" w:eastAsia="SimSun" w:hAnsi="Times New Roman"/>
                <w:sz w:val="21"/>
              </w:rPr>
              <w:t xml:space="preserve">B1超高亏欠；D3冲刷；A3、B4、C6、D4穿堤结构；A5沉降超限</w:t>
            </w:r>
          </w:p>
        </w:tc>
        <w:tc>
          <w:tcPr>
            <w:tcW w:w="3256" w:type="dxa"/>
            <w:vAlign w:val="center"/>
          </w:tcPr>
          <w:p>
            <w:pPr>
              <w:spacing w:before="20" w:after="20" w:line="240" w:lineRule="auto"/>
              <w:jc w:val="left"/>
            </w:pPr>
            <w:r>
              <w:rPr>
                <w:rFonts w:ascii="Times New Roman" w:eastAsia="SimSun" w:hAnsi="Times New Roman"/>
                <w:sz w:val="21"/>
              </w:rPr>
              <w:t xml:space="preserve">交付模型规则，分B、C两级</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观测门控</w:t>
            </w:r>
          </w:p>
        </w:tc>
        <w:tc>
          <w:tcPr>
            <w:tcW w:w="4400" w:type="dxa"/>
            <w:vAlign w:val="center"/>
          </w:tcPr>
          <w:p>
            <w:pPr>
              <w:spacing w:before="20" w:after="20" w:line="240" w:lineRule="auto"/>
              <w:jc w:val="left"/>
            </w:pPr>
            <w:r>
              <w:rPr>
                <w:rFonts w:ascii="Times New Roman" w:eastAsia="SimSun" w:hAnsi="Times New Roman"/>
                <w:sz w:val="21"/>
              </w:rPr>
              <w:t xml:space="preserve">见5.5.2节，仅由可采纳的确认事件触发</w:t>
            </w:r>
          </w:p>
        </w:tc>
        <w:tc>
          <w:tcPr>
            <w:tcW w:w="3256" w:type="dxa"/>
            <w:vAlign w:val="center"/>
          </w:tcPr>
          <w:p>
            <w:pPr>
              <w:spacing w:before="20" w:after="20" w:line="240" w:lineRule="auto"/>
              <w:jc w:val="left"/>
            </w:pPr>
            <w:r>
              <w:rPr>
                <w:rFonts w:ascii="Times New Roman" w:eastAsia="SimSun" w:hAnsi="Times New Roman"/>
                <w:sz w:val="21"/>
              </w:rPr>
              <w:t xml:space="preserve">候选与疑似不触发</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复核门</w:t>
            </w:r>
          </w:p>
        </w:tc>
        <w:tc>
          <w:tcPr>
            <w:tcW w:w="4400" w:type="dxa"/>
            <w:vAlign w:val="center"/>
          </w:tcPr>
          <w:p>
            <w:pPr>
              <w:spacing w:before="20" w:after="20" w:line="240" w:lineRule="auto"/>
              <w:jc w:val="left"/>
            </w:pPr>
            <w:r>
              <w:rPr>
                <w:rFonts w:ascii="Times New Roman" w:eastAsia="SimSun" w:hAnsi="Times New Roman"/>
                <w:sz w:val="21"/>
              </w:rPr>
              <w:t xml:space="preserve">最大类别概率 </w:t>
            </w:r>
            <w:r>
              <w:rPr>
                <w:rFonts w:ascii="Times New Roman" w:eastAsia="SimSun" w:hAnsi="Times New Roman"/>
                <w:sz w:val="21"/>
              </w:rPr>
              <w:t xml:space="preserve">&lt; </w:t>
            </w:r>
            <w:r>
              <w:rPr>
                <w:rFonts w:ascii="Times New Roman" w:eastAsia="SimSun" w:hAnsi="Times New Roman"/>
                <w:i/>
                <w:sz w:val="21"/>
              </w:rPr>
              <w:t xml:space="preserve">u</w:t>
            </w:r>
            <w:r>
              <w:rPr>
                <w:rFonts w:ascii="Times New Roman" w:eastAsia="SimSun" w:hAnsi="Times New Roman"/>
                <w:sz w:val="21"/>
              </w:rPr>
              <w:t xml:space="preserve"> 或存在候选时转人工；建议 </w:t>
            </w:r>
            <w:r>
              <w:rPr>
                <w:rFonts w:ascii="Times New Roman" w:eastAsia="SimSun" w:hAnsi="Times New Roman"/>
                <w:i/>
                <w:sz w:val="21"/>
              </w:rPr>
              <w:t xml:space="preserve">u</w:t>
            </w:r>
            <w:r>
              <w:rPr>
                <w:rFonts w:ascii="Times New Roman" w:eastAsia="SimSun" w:hAnsi="Times New Roman"/>
                <w:sz w:val="21"/>
              </w:rPr>
              <w:t xml:space="preserve"> = </w:t>
            </w:r>
            <w:r>
              <w:rPr>
                <w:rFonts w:ascii="Times New Roman" w:eastAsia="SimSun" w:hAnsi="Times New Roman"/>
                <w:sz w:val="21"/>
              </w:rPr>
              <w:t xml:space="preserve">0</w:t>
            </w:r>
            <w:r>
              <w:rPr>
                <w:rFonts w:ascii="Times New Roman" w:eastAsia="SimSun" w:hAnsi="Times New Roman"/>
                <w:sz w:val="21"/>
              </w:rPr>
              <w:t xml:space="preserve">.</w:t>
            </w:r>
            <w:r>
              <w:rPr>
                <w:rFonts w:ascii="Times New Roman" w:eastAsia="SimSun" w:hAnsi="Times New Roman"/>
                <w:sz w:val="21"/>
              </w:rPr>
              <w:t xml:space="preserve">5</w:t>
            </w:r>
            <w:r>
              <w:rPr>
                <w:rFonts w:ascii="Times New Roman" w:eastAsia="SimSun" w:hAnsi="Times New Roman"/>
                <w:sz w:val="21"/>
              </w:rPr>
              <w:t xml:space="preserve">0</w:t>
            </w:r>
          </w:p>
        </w:tc>
        <w:tc>
          <w:tcPr>
            <w:tcW w:w="3256" w:type="dxa"/>
            <w:vAlign w:val="center"/>
          </w:tcPr>
          <w:p>
            <w:pPr>
              <w:spacing w:before="20" w:after="20" w:line="240" w:lineRule="auto"/>
              <w:jc w:val="left"/>
            </w:pPr>
            <w:r>
              <w:rPr>
                <w:rFonts w:ascii="Times New Roman" w:eastAsia="SimSun" w:hAnsi="Times New Roman"/>
                <w:sz w:val="21"/>
              </w:rPr>
              <w:t xml:space="preserve">附加批次复核率1.5%±0.7%</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一级预警</w:t>
            </w:r>
          </w:p>
        </w:tc>
        <w:tc>
          <w:tcPr>
            <w:tcW w:w="4400" w:type="dxa"/>
            <w:vAlign w:val="center"/>
          </w:tcPr>
          <w:p>
            <w:pPr>
              <w:spacing w:before="20" w:after="20" w:line="240" w:lineRule="auto"/>
              <w:jc w:val="left"/>
            </w:pPr>
            <w:r>
              <w:rPr>
                <w:rFonts w:ascii="Times New Roman" w:eastAsia="SimSun" w:hAnsi="Times New Roman"/>
                <w:sz w:val="21"/>
              </w:rPr>
              <w:t xml:space="preserve">确定C级，或存在空间确定的确认管涌事件</w:t>
            </w:r>
          </w:p>
        </w:tc>
        <w:tc>
          <w:tcPr>
            <w:tcW w:w="3256" w:type="dxa"/>
            <w:vAlign w:val="center"/>
          </w:tcPr>
          <w:p>
            <w:pPr>
              <w:spacing w:before="20" w:after="20" w:line="240" w:lineRule="auto"/>
              <w:jc w:val="left"/>
            </w:pPr>
            <w:r>
              <w:rPr>
                <w:rFonts w:ascii="Times New Roman" w:eastAsia="SimSun" w:hAnsi="Times New Roman"/>
                <w:sz w:val="21"/>
              </w:rPr>
              <w:t xml:space="preserve">立即上报并组织现场复核与处置准备</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二级预警</w:t>
            </w:r>
          </w:p>
        </w:tc>
        <w:tc>
          <w:tcPr>
            <w:tcW w:w="4400" w:type="dxa"/>
            <w:vAlign w:val="center"/>
          </w:tcPr>
          <w:p>
            <w:pPr>
              <w:spacing w:before="20" w:after="20" w:line="240" w:lineRule="auto"/>
              <w:jc w:val="left"/>
            </w:pPr>
            <w:r>
              <w:rPr>
                <w:rFonts w:ascii="Times New Roman" w:eastAsia="SimSun" w:hAnsi="Times New Roman"/>
                <w:sz w:val="21"/>
              </w:rPr>
              <w:t xml:space="preserve">可能等级上界为C，或B级且某比值 </w:t>
            </w:r>
            <w:r>
              <w:rPr>
                <w:rFonts w:ascii="Times New Roman" w:eastAsia="SimSun" w:hAnsi="Times New Roman"/>
                <w:sz w:val="21"/>
              </w:rPr>
              <w:t xml:space="preserve">0</w:t>
            </w:r>
            <w:r>
              <w:rPr>
                <w:rFonts w:ascii="Times New Roman" w:eastAsia="SimSun" w:hAnsi="Times New Roman"/>
                <w:sz w:val="21"/>
              </w:rPr>
              <w:t xml:space="preserve">.</w:t>
            </w:r>
            <w:r>
              <w:rPr>
                <w:rFonts w:ascii="Times New Roman" w:eastAsia="SimSun" w:hAnsi="Times New Roman"/>
                <w:sz w:val="21"/>
              </w:rPr>
              <w:t xml:space="preserve">8</w:t>
            </w:r>
            <w:r>
              <w:rPr>
                <w:rFonts w:ascii="Times New Roman" w:eastAsia="SimSun" w:hAnsi="Times New Roman"/>
                <w:sz w:val="21"/>
              </w:rPr>
              <w:t xml:space="preserve"> ≤ </w:t>
            </w:r>
            <w:r>
              <w:rPr>
                <w:rFonts w:ascii="Times New Roman" w:eastAsia="SimSun" w:hAnsi="Times New Roman"/>
                <w:i/>
                <w:sz w:val="21"/>
              </w:rPr>
              <w:t xml:space="preserve">i</w:t>
            </w:r>
            <w:r>
              <w:rPr>
                <w:rFonts w:ascii="Times New Roman" w:eastAsia="SimSun" w:hAnsi="Times New Roman"/>
                <w:sz w:val="21"/>
              </w:rPr>
              <w:t xml:space="preserve">/</w:t>
            </w:r>
            <w:r>
              <w:rPr>
                <w:rFonts w:ascii="Times New Roman" w:eastAsia="SimSun" w:hAnsi="Times New Roman"/>
                <w:i/>
                <w:sz w:val="21"/>
              </w:rPr>
              <w:t xml:space="preserve">i</w:t>
            </w:r>
            <w:r>
              <w:rPr>
                <w:rFonts w:ascii="Times New Roman" w:eastAsia="SimSun" w:hAnsi="Times New Roman"/>
                <w:sz w:val="21"/>
                <w:vertAlign w:val="subscript"/>
              </w:rPr>
              <w:t xml:space="preserve">cr</w:t>
            </w:r>
            <w:r>
              <w:rPr>
                <w:rFonts w:ascii="Times New Roman" w:eastAsia="SimSun" w:hAnsi="Times New Roman"/>
                <w:sz w:val="21"/>
              </w:rPr>
              <w:t xml:space="preserve"> &lt; </w:t>
            </w:r>
            <w:r>
              <w:rPr>
                <w:rFonts w:ascii="Times New Roman" w:eastAsia="SimSun" w:hAnsi="Times New Roman"/>
                <w:sz w:val="21"/>
              </w:rPr>
              <w:t xml:space="preserve">1</w:t>
            </w:r>
            <w:r>
              <w:rPr>
                <w:rFonts w:ascii="Times New Roman" w:eastAsia="SimSun" w:hAnsi="Times New Roman"/>
                <w:sz w:val="21"/>
              </w:rPr>
              <w:t xml:space="preserve">.</w:t>
            </w:r>
            <w:r>
              <w:rPr>
                <w:rFonts w:ascii="Times New Roman" w:eastAsia="SimSun" w:hAnsi="Times New Roman"/>
                <w:sz w:val="21"/>
              </w:rPr>
              <w:t xml:space="preserve">0</w:t>
            </w:r>
          </w:p>
        </w:tc>
        <w:tc>
          <w:tcPr>
            <w:tcW w:w="3256" w:type="dxa"/>
            <w:vAlign w:val="center"/>
          </w:tcPr>
          <w:p>
            <w:pPr>
              <w:spacing w:before="20" w:after="20" w:line="240" w:lineRule="auto"/>
              <w:jc w:val="left"/>
            </w:pPr>
            <w:r>
              <w:rPr>
                <w:rFonts w:ascii="Times New Roman" w:eastAsia="SimSun" w:hAnsi="Times New Roman"/>
                <w:sz w:val="21"/>
              </w:rPr>
              <w:t xml:space="preserve">限期复核、加密巡检、补齐证据</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三级预警</w:t>
            </w:r>
          </w:p>
        </w:tc>
        <w:tc>
          <w:tcPr>
            <w:tcW w:w="4400" w:type="dxa"/>
            <w:vAlign w:val="center"/>
          </w:tcPr>
          <w:p>
            <w:pPr>
              <w:spacing w:before="20" w:after="20" w:line="240" w:lineRule="auto"/>
              <w:jc w:val="left"/>
            </w:pPr>
            <w:r>
              <w:rPr>
                <w:rFonts w:ascii="Times New Roman" w:eastAsia="SimSun" w:hAnsi="Times New Roman"/>
                <w:sz w:val="21"/>
              </w:rPr>
              <w:t xml:space="preserve">确定B级</w:t>
            </w:r>
          </w:p>
        </w:tc>
        <w:tc>
          <w:tcPr>
            <w:tcW w:w="3256" w:type="dxa"/>
            <w:vAlign w:val="center"/>
          </w:tcPr>
          <w:p>
            <w:pPr>
              <w:spacing w:before="20" w:after="20" w:line="240" w:lineRule="auto"/>
              <w:jc w:val="left"/>
            </w:pPr>
            <w:r>
              <w:rPr>
                <w:rFonts w:ascii="Times New Roman" w:eastAsia="SimSun" w:hAnsi="Times New Roman"/>
                <w:sz w:val="21"/>
              </w:rPr>
              <w:t xml:space="preserve">加强观测，按期复核</w:t>
            </w:r>
          </w:p>
        </w:tc>
      </w:tr>
      <w:tr>
        <w:trPr>
          <w:cantSplit/>
          <w:jc w:val="center"/>
        </w:trPr>
        <w:tc>
          <w:tcPr>
            <w:tcW w:w="1750" w:type="dxa"/>
            <w:vAlign w:val="center"/>
          </w:tcPr>
          <w:p>
            <w:pPr>
              <w:spacing w:before="20" w:after="20" w:line="240" w:lineRule="auto"/>
              <w:jc w:val="left"/>
            </w:pPr>
            <w:r>
              <w:rPr>
                <w:rFonts w:ascii="Times New Roman" w:eastAsia="SimSun" w:hAnsi="Times New Roman"/>
                <w:sz w:val="21"/>
              </w:rPr>
              <w:t xml:space="preserve">常规状态</w:t>
            </w:r>
          </w:p>
        </w:tc>
        <w:tc>
          <w:tcPr>
            <w:tcW w:w="4400" w:type="dxa"/>
            <w:vAlign w:val="center"/>
          </w:tcPr>
          <w:p>
            <w:pPr>
              <w:spacing w:before="20" w:after="20" w:line="240" w:lineRule="auto"/>
              <w:jc w:val="left"/>
            </w:pPr>
            <w:r>
              <w:rPr>
                <w:rFonts w:ascii="Times New Roman" w:eastAsia="SimSun" w:hAnsi="Times New Roman"/>
                <w:sz w:val="21"/>
              </w:rPr>
              <w:t xml:space="preserve">确定A级且巡检覆盖完整</w:t>
            </w:r>
          </w:p>
        </w:tc>
        <w:tc>
          <w:tcPr>
            <w:tcW w:w="3256" w:type="dxa"/>
            <w:vAlign w:val="center"/>
          </w:tcPr>
          <w:p>
            <w:pPr>
              <w:spacing w:before="20" w:after="20" w:line="240" w:lineRule="auto"/>
              <w:jc w:val="left"/>
            </w:pPr>
            <w:r>
              <w:rPr>
                <w:rFonts w:ascii="Times New Roman" w:eastAsia="SimSun" w:hAnsi="Times New Roman"/>
                <w:sz w:val="21"/>
              </w:rPr>
              <w:t xml:space="preserve">常规巡查</w:t>
            </w:r>
          </w:p>
        </w:tc>
      </w:tr>
    </w:tbl>
    <w:p>
      <w:pPr>
        <w:spacing w:after="0" w:line="360" w:lineRule="auto"/>
        <w:ind w:firstLine="480"/>
        <w:jc w:val="both"/>
      </w:pPr>
      <w:r>
        <w:rPr>
          <w:rFonts w:ascii="Times New Roman" w:eastAsia="SimSun" w:hAnsi="Times New Roman"/>
          <w:sz w:val="24"/>
        </w:rPr>
        <w:t xml:space="preserve">三级预警为本章的研究建议：同一B级结论在证据完整时为三级，在关键证据缺失或存在待复核候选时升为二级，从而把等级与证据充分性一并传给管理端。研究等级与导则</w:t>
      </w:r>
      <w:r>
        <w:rPr>
          <w:rFonts w:ascii="Times New Roman" w:eastAsia="SimSun" w:hAnsi="Times New Roman"/>
          <w:sz w:val="24"/>
          <w:vertAlign w:val="superscript"/>
        </w:rPr>
        <w:t xml:space="preserve">[136]</w:t>
      </w:r>
      <w:r>
        <w:rPr>
          <w:rFonts w:ascii="Times New Roman" w:eastAsia="SimSun" w:hAnsi="Times New Roman"/>
          <w:sz w:val="24"/>
        </w:rPr>
        <w:t xml:space="preserve">中的工程安全类别不作自动换算，预警阈值须与适用规范和管理预案对接并用历史险情回溯检验。</w:t>
      </w:r>
    </w:p>
    <w:p>
      <w:pPr>
        <w:keepNext/>
        <w:spacing w:before="240" w:after="120" w:line="360" w:lineRule="auto"/>
      </w:pPr>
      <w:r>
        <w:rPr>
          <w:rFonts w:ascii="Times New Roman" w:eastAsia="SimHei" w:hAnsi="Times New Roman"/>
          <w:b/>
          <w:sz w:val="24"/>
        </w:rPr>
        <w:t xml:space="preserve">5.8  算例分析</w:t>
      </w:r>
    </w:p>
    <w:p>
      <w:pPr>
        <w:keepNext/>
        <w:spacing w:before="120" w:after="120" w:line="360" w:lineRule="auto"/>
      </w:pPr>
      <w:r>
        <w:rPr>
          <w:rFonts w:ascii="Times New Roman" w:eastAsia="SimHei" w:hAnsi="Times New Roman"/>
          <w:b/>
          <w:sz w:val="24"/>
        </w:rPr>
        <w:t xml:space="preserve">5.8.1  受控基准与验证协议</w:t>
      </w:r>
    </w:p>
    <w:p>
      <w:pPr>
        <w:spacing w:after="0" w:line="360" w:lineRule="auto"/>
        <w:ind w:firstLine="480"/>
        <w:jc w:val="both"/>
      </w:pPr>
      <w:r>
        <w:rPr>
          <w:rFonts w:ascii="Times New Roman" w:eastAsia="SimSun" w:hAnsi="Times New Roman"/>
          <w:sz w:val="24"/>
        </w:rPr>
        <w:t xml:space="preserve">受控基准由交付生成程序以种子20260616构造，7类目标情景（安全基准、漫顶、渗流、边坡、冲刷、穿堤建筑物、复合）×5档严重度×25条，共875条；安全与轻微为A（350条），中等为B（175条），严重与临界为C（350条）。这是检验生成器内决策行为的封闭参考而非现场标签；重跑结果与交付文件逐字节一致。另以种子20260930—20260934生成5个附加批次。配对比较采用精确McNemar检验</w:t>
      </w:r>
      <w:r>
        <w:rPr>
          <w:rFonts w:ascii="Times New Roman" w:eastAsia="SimSun" w:hAnsi="Times New Roman"/>
          <w:sz w:val="24"/>
          <w:vertAlign w:val="superscript"/>
        </w:rPr>
        <w:t xml:space="preserve">[210]</w:t>
      </w:r>
      <w:r>
        <w:rPr>
          <w:rFonts w:ascii="Times New Roman" w:eastAsia="SimSun" w:hAnsi="Times New Roman"/>
          <w:sz w:val="24"/>
        </w:rPr>
        <w:t xml:space="preserve">，批内不确定性采用按722个特征向量分组、重采样2000次的配对Bootstrap</w:t>
      </w:r>
      <w:r>
        <w:rPr>
          <w:rFonts w:ascii="Times New Roman" w:eastAsia="SimSun" w:hAnsi="Times New Roman"/>
          <w:sz w:val="24"/>
          <w:vertAlign w:val="superscript"/>
        </w:rPr>
        <w:t xml:space="preserve">[211]</w:t>
      </w:r>
      <w:r>
        <w:rPr>
          <w:rFonts w:ascii="Times New Roman" w:eastAsia="SimSun" w:hAnsi="Times New Roman"/>
          <w:sz w:val="24"/>
        </w:rPr>
        <w:t xml:space="preserve">，附加批次报告均值±标准差。</w:t>
      </w:r>
    </w:p>
    <w:p>
      <w:pPr>
        <w:keepNext/>
        <w:spacing w:before="120" w:after="120" w:line="360" w:lineRule="auto"/>
      </w:pPr>
      <w:r>
        <w:rPr>
          <w:rFonts w:ascii="Times New Roman" w:eastAsia="SimHei" w:hAnsi="Times New Roman"/>
          <w:b/>
          <w:sz w:val="24"/>
        </w:rPr>
        <w:t xml:space="preserve">5.8.2  规则链与学习层的错误方向</w:t>
      </w:r>
    </w:p>
    <w:p>
      <w:pPr>
        <w:spacing w:after="0" w:line="360" w:lineRule="auto"/>
        <w:ind w:firstLine="480"/>
        <w:jc w:val="both"/>
      </w:pPr>
      <w:r>
        <w:rPr>
          <w:rFonts w:ascii="Times New Roman" w:eastAsia="SimSun" w:hAnsi="Times New Roman"/>
          <w:sz w:val="24"/>
        </w:rPr>
        <w:t xml:space="preserve">结果见表5.5与图5.4。规则链准确率为0.845，136个错误全部为一级错误（54个A→B、25个B→A、57个C→B），无C→A；仅按得分分级时只有450条正确，观测上限未改变任何等级，硬门控改变了322条，说明规则链的表现主要由门控决定。</w:t>
      </w:r>
    </w:p>
    <w:p>
      <w:pPr>
        <w:keepNext/>
        <w:spacing w:before="120" w:after="60" w:line="240" w:lineRule="auto"/>
        <w:jc w:val="center"/>
      </w:pPr>
      <w:r>
        <w:rPr>
          <w:rFonts w:ascii="Times New Roman" w:eastAsia="SimSun" w:hAnsi="Times New Roman"/>
          <w:sz w:val="21"/>
        </w:rPr>
        <w:t xml:space="preserve">表5.5  875条受控记录上的分组样本外比较</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596"/>
        <w:gridCol w:w="850"/>
        <w:gridCol w:w="760"/>
        <w:gridCol w:w="880"/>
        <w:gridCol w:w="880"/>
        <w:gridCol w:w="640"/>
        <w:gridCol w:w="640"/>
        <w:gridCol w:w="700"/>
        <w:gridCol w:w="700"/>
        <w:gridCol w:w="760"/>
      </w:tblGrid>
      <w:tr>
        <w:trPr>
          <w:tblHeader/>
          <w:cantSplit/>
          <w:jc w:val="center"/>
        </w:trPr>
        <w:tc>
          <w:tcPr>
            <w:tcW w:w="259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方法</w:t>
            </w:r>
          </w:p>
        </w:tc>
        <w:tc>
          <w:tcPr>
            <w:tcW w:w="8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准确率</w:t>
            </w:r>
          </w:p>
        </w:tc>
        <w:tc>
          <w:tcPr>
            <w:tcW w:w="76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宏F1</w:t>
            </w:r>
          </w:p>
        </w:tc>
        <w:tc>
          <w:tcPr>
            <w:tcW w:w="88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平衡准确率</w:t>
            </w:r>
          </w:p>
        </w:tc>
        <w:tc>
          <w:tcPr>
            <w:tcW w:w="88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C类召回率</w:t>
            </w:r>
          </w:p>
        </w:tc>
        <w:tc>
          <w:tcPr>
            <w:tcW w:w="64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C→A</w:t>
            </w:r>
          </w:p>
        </w:tc>
        <w:tc>
          <w:tcPr>
            <w:tcW w:w="64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C→B</w:t>
            </w:r>
          </w:p>
        </w:tc>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安全损失</w:t>
            </w:r>
          </w:p>
        </w:tc>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A类高估</w:t>
            </w:r>
          </w:p>
        </w:tc>
        <w:tc>
          <w:tcPr>
            <w:tcW w:w="76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升级率</w:t>
            </w:r>
          </w:p>
        </w:tc>
      </w:tr>
      <w:tr>
        <w:trPr>
          <w:cantSplit/>
          <w:jc w:val="center"/>
        </w:trPr>
        <w:tc>
          <w:tcPr>
            <w:tcW w:w="2596" w:type="dxa"/>
            <w:vAlign w:val="center"/>
          </w:tcPr>
          <w:p>
            <w:pPr>
              <w:spacing w:before="20" w:after="20" w:line="240" w:lineRule="auto"/>
              <w:jc w:val="left"/>
            </w:pPr>
            <w:r>
              <w:rPr>
                <w:rFonts w:ascii="Times New Roman" w:eastAsia="SimSun" w:hAnsi="Times New Roman"/>
                <w:sz w:val="21"/>
              </w:rPr>
              <w:t xml:space="preserve">规则链</w:t>
            </w:r>
          </w:p>
        </w:tc>
        <w:tc>
          <w:tcPr>
            <w:tcW w:w="850" w:type="dxa"/>
            <w:vAlign w:val="center"/>
          </w:tcPr>
          <w:p>
            <w:pPr>
              <w:spacing w:before="20" w:after="20" w:line="240" w:lineRule="auto"/>
              <w:jc w:val="center"/>
            </w:pPr>
            <w:r>
              <w:rPr>
                <w:rFonts w:ascii="Times New Roman" w:eastAsia="SimSun" w:hAnsi="Times New Roman"/>
                <w:sz w:val="21"/>
              </w:rPr>
              <w:t xml:space="preserve">0.845</w:t>
            </w:r>
          </w:p>
        </w:tc>
        <w:tc>
          <w:tcPr>
            <w:tcW w:w="760" w:type="dxa"/>
            <w:vAlign w:val="center"/>
          </w:tcPr>
          <w:p>
            <w:pPr>
              <w:spacing w:before="20" w:after="20" w:line="240" w:lineRule="auto"/>
              <w:jc w:val="center"/>
            </w:pPr>
            <w:r>
              <w:rPr>
                <w:rFonts w:ascii="Times New Roman" w:eastAsia="SimSun" w:hAnsi="Times New Roman"/>
                <w:sz w:val="21"/>
              </w:rPr>
              <w:t xml:space="preserve">0.827</w:t>
            </w:r>
          </w:p>
        </w:tc>
        <w:tc>
          <w:tcPr>
            <w:tcW w:w="880" w:type="dxa"/>
            <w:vAlign w:val="center"/>
          </w:tcPr>
          <w:p>
            <w:pPr>
              <w:spacing w:before="20" w:after="20" w:line="240" w:lineRule="auto"/>
              <w:jc w:val="center"/>
            </w:pPr>
            <w:r>
              <w:rPr>
                <w:rFonts w:ascii="Times New Roman" w:eastAsia="SimSun" w:hAnsi="Times New Roman"/>
                <w:sz w:val="21"/>
              </w:rPr>
              <w:t xml:space="preserve">0.847</w:t>
            </w:r>
          </w:p>
        </w:tc>
        <w:tc>
          <w:tcPr>
            <w:tcW w:w="880" w:type="dxa"/>
            <w:vAlign w:val="center"/>
          </w:tcPr>
          <w:p>
            <w:pPr>
              <w:spacing w:before="20" w:after="20" w:line="240" w:lineRule="auto"/>
              <w:jc w:val="center"/>
            </w:pPr>
            <w:r>
              <w:rPr>
                <w:rFonts w:ascii="Times New Roman" w:eastAsia="SimSun" w:hAnsi="Times New Roman"/>
                <w:sz w:val="21"/>
              </w:rPr>
              <w:t xml:space="preserve">0.837</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640" w:type="dxa"/>
            <w:vAlign w:val="center"/>
          </w:tcPr>
          <w:p>
            <w:pPr>
              <w:spacing w:before="20" w:after="20" w:line="240" w:lineRule="auto"/>
              <w:jc w:val="center"/>
            </w:pPr>
            <w:r>
              <w:rPr>
                <w:rFonts w:ascii="Times New Roman" w:eastAsia="SimSun" w:hAnsi="Times New Roman"/>
                <w:sz w:val="21"/>
              </w:rPr>
              <w:t xml:space="preserve">57</w:t>
            </w:r>
          </w:p>
        </w:tc>
        <w:tc>
          <w:tcPr>
            <w:tcW w:w="700" w:type="dxa"/>
            <w:vAlign w:val="center"/>
          </w:tcPr>
          <w:p>
            <w:pPr>
              <w:spacing w:before="20" w:after="20" w:line="240" w:lineRule="auto"/>
              <w:jc w:val="center"/>
            </w:pPr>
            <w:r>
              <w:rPr>
                <w:rFonts w:ascii="Times New Roman" w:eastAsia="SimSun" w:hAnsi="Times New Roman"/>
                <w:sz w:val="21"/>
              </w:rPr>
              <w:t xml:space="preserve">57</w:t>
            </w:r>
          </w:p>
        </w:tc>
        <w:tc>
          <w:tcPr>
            <w:tcW w:w="700" w:type="dxa"/>
            <w:vAlign w:val="center"/>
          </w:tcPr>
          <w:p>
            <w:pPr>
              <w:spacing w:before="20" w:after="20" w:line="240" w:lineRule="auto"/>
              <w:jc w:val="center"/>
            </w:pPr>
            <w:r>
              <w:rPr>
                <w:rFonts w:ascii="Times New Roman" w:eastAsia="SimSun" w:hAnsi="Times New Roman"/>
                <w:sz w:val="21"/>
              </w:rPr>
              <w:t xml:space="preserve">54</w:t>
            </w:r>
          </w:p>
        </w:tc>
        <w:tc>
          <w:tcPr>
            <w:tcW w:w="760" w:type="dxa"/>
            <w:vAlign w:val="center"/>
          </w:tcPr>
          <w:p>
            <w:pPr>
              <w:spacing w:before="20" w:after="20" w:line="240" w:lineRule="auto"/>
              <w:jc w:val="center"/>
            </w:pPr>
            <w:r>
              <w:rPr>
                <w:rFonts w:ascii="Times New Roman" w:eastAsia="SimSun" w:hAnsi="Times New Roman"/>
                <w:sz w:val="21"/>
              </w:rPr>
              <w:t xml:space="preserve">0.335</w:t>
            </w:r>
          </w:p>
        </w:tc>
      </w:tr>
      <w:tr>
        <w:trPr>
          <w:cantSplit/>
          <w:jc w:val="center"/>
        </w:trPr>
        <w:tc>
          <w:tcPr>
            <w:tcW w:w="2596" w:type="dxa"/>
            <w:vAlign w:val="center"/>
          </w:tcPr>
          <w:p>
            <w:pPr>
              <w:spacing w:before="20" w:after="20" w:line="240" w:lineRule="auto"/>
              <w:jc w:val="left"/>
            </w:pPr>
            <w:r>
              <w:rPr>
                <w:rFonts w:ascii="Times New Roman" w:eastAsia="SimSun" w:hAnsi="Times New Roman"/>
                <w:sz w:val="21"/>
              </w:rPr>
              <w:t xml:space="preserve">RF多数投票</w:t>
            </w:r>
          </w:p>
        </w:tc>
        <w:tc>
          <w:tcPr>
            <w:tcW w:w="850" w:type="dxa"/>
            <w:vAlign w:val="center"/>
          </w:tcPr>
          <w:p>
            <w:pPr>
              <w:spacing w:before="20" w:after="20" w:line="240" w:lineRule="auto"/>
              <w:jc w:val="center"/>
            </w:pPr>
            <w:r>
              <w:rPr>
                <w:rFonts w:ascii="Times New Roman" w:eastAsia="SimSun" w:hAnsi="Times New Roman"/>
                <w:sz w:val="21"/>
              </w:rPr>
              <w:t xml:space="preserve">0.829</w:t>
            </w:r>
          </w:p>
        </w:tc>
        <w:tc>
          <w:tcPr>
            <w:tcW w:w="760" w:type="dxa"/>
            <w:vAlign w:val="center"/>
          </w:tcPr>
          <w:p>
            <w:pPr>
              <w:spacing w:before="20" w:after="20" w:line="240" w:lineRule="auto"/>
              <w:jc w:val="center"/>
            </w:pPr>
            <w:r>
              <w:rPr>
                <w:rFonts w:ascii="Times New Roman" w:eastAsia="SimSun" w:hAnsi="Times New Roman"/>
                <w:sz w:val="21"/>
              </w:rPr>
              <w:t xml:space="preserve">0.784</w:t>
            </w:r>
          </w:p>
        </w:tc>
        <w:tc>
          <w:tcPr>
            <w:tcW w:w="880" w:type="dxa"/>
            <w:vAlign w:val="center"/>
          </w:tcPr>
          <w:p>
            <w:pPr>
              <w:spacing w:before="20" w:after="20" w:line="240" w:lineRule="auto"/>
              <w:jc w:val="center"/>
            </w:pPr>
            <w:r>
              <w:rPr>
                <w:rFonts w:ascii="Times New Roman" w:eastAsia="SimSun" w:hAnsi="Times New Roman"/>
                <w:sz w:val="21"/>
              </w:rPr>
              <w:t xml:space="preserve">0.763</w:t>
            </w:r>
          </w:p>
        </w:tc>
        <w:tc>
          <w:tcPr>
            <w:tcW w:w="880" w:type="dxa"/>
            <w:vAlign w:val="center"/>
          </w:tcPr>
          <w:p>
            <w:pPr>
              <w:spacing w:before="20" w:after="20" w:line="240" w:lineRule="auto"/>
              <w:jc w:val="center"/>
            </w:pPr>
            <w:r>
              <w:rPr>
                <w:rFonts w:ascii="Times New Roman" w:eastAsia="SimSun" w:hAnsi="Times New Roman"/>
                <w:sz w:val="21"/>
              </w:rPr>
              <w:t xml:space="preserve">0.854</w:t>
            </w:r>
          </w:p>
        </w:tc>
        <w:tc>
          <w:tcPr>
            <w:tcW w:w="640" w:type="dxa"/>
            <w:vAlign w:val="center"/>
          </w:tcPr>
          <w:p>
            <w:pPr>
              <w:spacing w:before="20" w:after="20" w:line="240" w:lineRule="auto"/>
              <w:jc w:val="center"/>
            </w:pPr>
            <w:r>
              <w:rPr>
                <w:rFonts w:ascii="Times New Roman" w:eastAsia="SimSun" w:hAnsi="Times New Roman"/>
                <w:sz w:val="21"/>
              </w:rPr>
              <w:t xml:space="preserve">51</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102</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60" w:type="dxa"/>
            <w:vAlign w:val="center"/>
          </w:tcPr>
          <w:p>
            <w:pPr>
              <w:spacing w:before="20" w:after="20" w:line="240" w:lineRule="auto"/>
              <w:jc w:val="center"/>
            </w:pPr>
            <w:r>
              <w:rPr>
                <w:rFonts w:ascii="Times New Roman" w:eastAsia="SimSun" w:hAnsi="Times New Roman"/>
                <w:sz w:val="21"/>
              </w:rPr>
              <w:t xml:space="preserve">0.342</w:t>
            </w:r>
          </w:p>
        </w:tc>
      </w:tr>
      <w:tr>
        <w:trPr>
          <w:cantSplit/>
          <w:jc w:val="center"/>
        </w:trPr>
        <w:tc>
          <w:tcPr>
            <w:tcW w:w="2596" w:type="dxa"/>
            <w:vAlign w:val="center"/>
          </w:tcPr>
          <w:p>
            <w:pPr>
              <w:spacing w:before="20" w:after="20" w:line="240" w:lineRule="auto"/>
              <w:jc w:val="left"/>
            </w:pPr>
            <w:r>
              <w:rPr>
                <w:rFonts w:ascii="Times New Roman" w:eastAsia="SimSun" w:hAnsi="Times New Roman"/>
                <w:sz w:val="21"/>
              </w:rPr>
              <w:t xml:space="preserve">RF阈值(0.35, 0.20)</w:t>
            </w:r>
          </w:p>
        </w:tc>
        <w:tc>
          <w:tcPr>
            <w:tcW w:w="850" w:type="dxa"/>
            <w:vAlign w:val="center"/>
          </w:tcPr>
          <w:p>
            <w:pPr>
              <w:spacing w:before="20" w:after="20" w:line="240" w:lineRule="auto"/>
              <w:jc w:val="center"/>
            </w:pPr>
            <w:r>
              <w:rPr>
                <w:rFonts w:ascii="Times New Roman" w:eastAsia="SimSun" w:hAnsi="Times New Roman"/>
                <w:sz w:val="21"/>
              </w:rPr>
              <w:t xml:space="preserve">0.873</w:t>
            </w:r>
          </w:p>
        </w:tc>
        <w:tc>
          <w:tcPr>
            <w:tcW w:w="760" w:type="dxa"/>
            <w:vAlign w:val="center"/>
          </w:tcPr>
          <w:p>
            <w:pPr>
              <w:spacing w:before="20" w:after="20" w:line="240" w:lineRule="auto"/>
              <w:jc w:val="center"/>
            </w:pPr>
            <w:r>
              <w:rPr>
                <w:rFonts w:ascii="Times New Roman" w:eastAsia="SimSun" w:hAnsi="Times New Roman"/>
                <w:sz w:val="21"/>
              </w:rPr>
              <w:t xml:space="preserve">0.858</w:t>
            </w:r>
          </w:p>
        </w:tc>
        <w:tc>
          <w:tcPr>
            <w:tcW w:w="880" w:type="dxa"/>
            <w:vAlign w:val="center"/>
          </w:tcPr>
          <w:p>
            <w:pPr>
              <w:spacing w:before="20" w:after="20" w:line="240" w:lineRule="auto"/>
              <w:jc w:val="center"/>
            </w:pPr>
            <w:r>
              <w:rPr>
                <w:rFonts w:ascii="Times New Roman" w:eastAsia="SimSun" w:hAnsi="Times New Roman"/>
                <w:sz w:val="21"/>
              </w:rPr>
              <w:t xml:space="preserve">0.836</w:t>
            </w:r>
          </w:p>
        </w:tc>
        <w:tc>
          <w:tcPr>
            <w:tcW w:w="880" w:type="dxa"/>
            <w:vAlign w:val="center"/>
          </w:tcPr>
          <w:p>
            <w:pPr>
              <w:spacing w:before="20" w:after="20" w:line="240" w:lineRule="auto"/>
              <w:jc w:val="center"/>
            </w:pPr>
            <w:r>
              <w:rPr>
                <w:rFonts w:ascii="Times New Roman" w:eastAsia="SimSun" w:hAnsi="Times New Roman"/>
                <w:sz w:val="21"/>
              </w:rPr>
              <w:t xml:space="preserve">0.857</w:t>
            </w:r>
          </w:p>
        </w:tc>
        <w:tc>
          <w:tcPr>
            <w:tcW w:w="640" w:type="dxa"/>
            <w:vAlign w:val="center"/>
          </w:tcPr>
          <w:p>
            <w:pPr>
              <w:spacing w:before="20" w:after="20" w:line="240" w:lineRule="auto"/>
              <w:jc w:val="center"/>
            </w:pPr>
            <w:r>
              <w:rPr>
                <w:rFonts w:ascii="Times New Roman" w:eastAsia="SimSun" w:hAnsi="Times New Roman"/>
                <w:sz w:val="21"/>
              </w:rPr>
              <w:t xml:space="preserve">50</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100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60" w:type="dxa"/>
            <w:vAlign w:val="center"/>
          </w:tcPr>
          <w:p>
            <w:pPr>
              <w:spacing w:before="20" w:after="20" w:line="240" w:lineRule="auto"/>
              <w:jc w:val="center"/>
            </w:pPr>
            <w:r>
              <w:rPr>
                <w:rFonts w:ascii="Times New Roman" w:eastAsia="SimSun" w:hAnsi="Times New Roman"/>
                <w:sz w:val="21"/>
              </w:rPr>
              <w:t xml:space="preserve">0.343</w:t>
            </w:r>
          </w:p>
        </w:tc>
      </w:tr>
      <w:tr>
        <w:trPr>
          <w:cantSplit/>
          <w:jc w:val="center"/>
        </w:trPr>
        <w:tc>
          <w:tcPr>
            <w:tcW w:w="2596" w:type="dxa"/>
            <w:vAlign w:val="center"/>
          </w:tcPr>
          <w:p>
            <w:pPr>
              <w:spacing w:before="20" w:after="20" w:line="240" w:lineRule="auto"/>
              <w:jc w:val="left"/>
            </w:pPr>
            <w:r>
              <w:rPr>
                <w:rFonts w:ascii="Times New Roman" w:eastAsia="SimSun" w:hAnsi="Times New Roman"/>
                <w:sz w:val="21"/>
              </w:rPr>
              <w:t xml:space="preserve">RF，0.01网格宏F1最优</w:t>
            </w:r>
          </w:p>
        </w:tc>
        <w:tc>
          <w:tcPr>
            <w:tcW w:w="850" w:type="dxa"/>
            <w:vAlign w:val="center"/>
          </w:tcPr>
          <w:p>
            <w:pPr>
              <w:spacing w:before="20" w:after="20" w:line="240" w:lineRule="auto"/>
              <w:jc w:val="center"/>
            </w:pPr>
            <w:r>
              <w:rPr>
                <w:rFonts w:ascii="Times New Roman" w:eastAsia="SimSun" w:hAnsi="Times New Roman"/>
                <w:sz w:val="21"/>
              </w:rPr>
              <w:t xml:space="preserve">0.887</w:t>
            </w:r>
          </w:p>
        </w:tc>
        <w:tc>
          <w:tcPr>
            <w:tcW w:w="760" w:type="dxa"/>
            <w:vAlign w:val="center"/>
          </w:tcPr>
          <w:p>
            <w:pPr>
              <w:spacing w:before="20" w:after="20" w:line="240" w:lineRule="auto"/>
              <w:jc w:val="center"/>
            </w:pPr>
            <w:r>
              <w:rPr>
                <w:rFonts w:ascii="Times New Roman" w:eastAsia="SimSun" w:hAnsi="Times New Roman"/>
                <w:sz w:val="21"/>
              </w:rPr>
              <w:t xml:space="preserve">0.890</w:t>
            </w:r>
          </w:p>
        </w:tc>
        <w:tc>
          <w:tcPr>
            <w:tcW w:w="880" w:type="dxa"/>
            <w:vAlign w:val="center"/>
          </w:tcPr>
          <w:p>
            <w:pPr>
              <w:spacing w:before="20" w:after="20" w:line="240" w:lineRule="auto"/>
              <w:jc w:val="center"/>
            </w:pPr>
            <w:r>
              <w:rPr>
                <w:rFonts w:ascii="Times New Roman" w:eastAsia="SimSun" w:hAnsi="Times New Roman"/>
                <w:sz w:val="21"/>
              </w:rPr>
              <w:t xml:space="preserve">0.882</w:t>
            </w:r>
          </w:p>
        </w:tc>
        <w:tc>
          <w:tcPr>
            <w:tcW w:w="880" w:type="dxa"/>
            <w:vAlign w:val="center"/>
          </w:tcPr>
          <w:p>
            <w:pPr>
              <w:spacing w:before="20" w:after="20" w:line="240" w:lineRule="auto"/>
              <w:jc w:val="center"/>
            </w:pPr>
            <w:r>
              <w:rPr>
                <w:rFonts w:ascii="Times New Roman" w:eastAsia="SimSun" w:hAnsi="Times New Roman"/>
                <w:sz w:val="21"/>
              </w:rPr>
              <w:t xml:space="preserve">0.857</w:t>
            </w:r>
          </w:p>
        </w:tc>
        <w:tc>
          <w:tcPr>
            <w:tcW w:w="640" w:type="dxa"/>
            <w:vAlign w:val="center"/>
          </w:tcPr>
          <w:p>
            <w:pPr>
              <w:spacing w:before="20" w:after="20" w:line="240" w:lineRule="auto"/>
              <w:jc w:val="center"/>
            </w:pPr>
            <w:r>
              <w:rPr>
                <w:rFonts w:ascii="Times New Roman" w:eastAsia="SimSun" w:hAnsi="Times New Roman"/>
                <w:sz w:val="21"/>
              </w:rPr>
              <w:t xml:space="preserve">50</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100</w:t>
            </w:r>
          </w:p>
        </w:tc>
        <w:tc>
          <w:tcPr>
            <w:tcW w:w="700" w:type="dxa"/>
            <w:vAlign w:val="center"/>
          </w:tcPr>
          <w:p>
            <w:pPr>
              <w:spacing w:before="20" w:after="20" w:line="240" w:lineRule="auto"/>
              <w:jc w:val="center"/>
            </w:pPr>
            <w:r>
              <w:rPr>
                <w:rFonts w:ascii="Times New Roman" w:eastAsia="SimSun" w:hAnsi="Times New Roman"/>
                <w:sz w:val="21"/>
              </w:rPr>
              <w:t xml:space="preserve">24</w:t>
            </w:r>
          </w:p>
        </w:tc>
        <w:tc>
          <w:tcPr>
            <w:tcW w:w="760" w:type="dxa"/>
            <w:vAlign w:val="center"/>
          </w:tcPr>
          <w:p>
            <w:pPr>
              <w:spacing w:before="20" w:after="20" w:line="240" w:lineRule="auto"/>
              <w:jc w:val="center"/>
            </w:pPr>
            <w:r>
              <w:rPr>
                <w:rFonts w:ascii="Times New Roman" w:eastAsia="SimSun" w:hAnsi="Times New Roman"/>
                <w:sz w:val="21"/>
              </w:rPr>
              <w:t xml:space="preserve">0.361</w:t>
            </w:r>
          </w:p>
        </w:tc>
      </w:tr>
      <w:tr>
        <w:trPr>
          <w:cantSplit/>
          <w:jc w:val="center"/>
        </w:trPr>
        <w:tc>
          <w:tcPr>
            <w:tcW w:w="2596" w:type="dxa"/>
            <w:vAlign w:val="center"/>
          </w:tcPr>
          <w:p>
            <w:pPr>
              <w:spacing w:before="20" w:after="20" w:line="240" w:lineRule="auto"/>
              <w:jc w:val="left"/>
            </w:pPr>
            <w:r>
              <w:rPr>
                <w:rFonts w:ascii="Times New Roman" w:eastAsia="SimSun" w:hAnsi="Times New Roman"/>
                <w:sz w:val="21"/>
              </w:rPr>
              <w:t xml:space="preserve">RF+C-only下限</w:t>
            </w:r>
          </w:p>
        </w:tc>
        <w:tc>
          <w:tcPr>
            <w:tcW w:w="850" w:type="dxa"/>
            <w:vAlign w:val="center"/>
          </w:tcPr>
          <w:p>
            <w:pPr>
              <w:spacing w:before="20" w:after="20" w:line="240" w:lineRule="auto"/>
              <w:jc w:val="center"/>
            </w:pPr>
            <w:r>
              <w:rPr>
                <w:rFonts w:ascii="Times New Roman" w:eastAsia="SimSun" w:hAnsi="Times New Roman"/>
                <w:sz w:val="21"/>
              </w:rPr>
              <w:t xml:space="preserve">0.930</w:t>
            </w:r>
          </w:p>
        </w:tc>
        <w:tc>
          <w:tcPr>
            <w:tcW w:w="760" w:type="dxa"/>
            <w:vAlign w:val="center"/>
          </w:tcPr>
          <w:p>
            <w:pPr>
              <w:spacing w:before="20" w:after="20" w:line="240" w:lineRule="auto"/>
              <w:jc w:val="center"/>
            </w:pPr>
            <w:r>
              <w:rPr>
                <w:rFonts w:ascii="Times New Roman" w:eastAsia="SimSun" w:hAnsi="Times New Roman"/>
                <w:sz w:val="21"/>
              </w:rPr>
              <w:t xml:space="preserve">0.903</w:t>
            </w:r>
          </w:p>
        </w:tc>
        <w:tc>
          <w:tcPr>
            <w:tcW w:w="880" w:type="dxa"/>
            <w:vAlign w:val="center"/>
          </w:tcPr>
          <w:p>
            <w:pPr>
              <w:spacing w:before="20" w:after="20" w:line="240" w:lineRule="auto"/>
              <w:jc w:val="center"/>
            </w:pPr>
            <w:r>
              <w:rPr>
                <w:rFonts w:ascii="Times New Roman" w:eastAsia="SimSun" w:hAnsi="Times New Roman"/>
                <w:sz w:val="21"/>
              </w:rPr>
              <w:t xml:space="preserve">0.884</w:t>
            </w:r>
          </w:p>
        </w:tc>
        <w:tc>
          <w:tcPr>
            <w:tcW w:w="880" w:type="dxa"/>
            <w:vAlign w:val="center"/>
          </w:tcPr>
          <w:p>
            <w:pPr>
              <w:spacing w:before="20" w:after="20" w:line="240" w:lineRule="auto"/>
              <w:jc w:val="center"/>
            </w:pPr>
            <w:r>
              <w:rPr>
                <w:rFonts w:ascii="Times New Roman" w:eastAsia="SimSun" w:hAnsi="Times New Roman"/>
                <w:sz w:val="21"/>
              </w:rPr>
              <w:t xml:space="preserve">1.000</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60" w:type="dxa"/>
            <w:vAlign w:val="center"/>
          </w:tcPr>
          <w:p>
            <w:pPr>
              <w:spacing w:before="20" w:after="20" w:line="240" w:lineRule="auto"/>
              <w:jc w:val="center"/>
            </w:pPr>
            <w:r>
              <w:rPr>
                <w:rFonts w:ascii="Times New Roman" w:eastAsia="SimSun" w:hAnsi="Times New Roman"/>
                <w:sz w:val="21"/>
              </w:rPr>
              <w:t xml:space="preserve">0.400</w:t>
            </w:r>
          </w:p>
        </w:tc>
      </w:tr>
      <w:tr>
        <w:trPr>
          <w:cantSplit/>
          <w:jc w:val="center"/>
        </w:trPr>
        <w:tc>
          <w:tcPr>
            <w:tcW w:w="2596" w:type="dxa"/>
            <w:vAlign w:val="center"/>
          </w:tcPr>
          <w:p>
            <w:pPr>
              <w:spacing w:before="20" w:after="20" w:line="240" w:lineRule="auto"/>
              <w:jc w:val="left"/>
            </w:pPr>
            <w:r>
              <w:rPr>
                <w:rFonts w:ascii="Times New Roman" w:eastAsia="SimSun" w:hAnsi="Times New Roman"/>
                <w:sz w:val="21"/>
              </w:rPr>
              <w:t xml:space="preserve">RF+序数物理下限</w:t>
            </w:r>
          </w:p>
        </w:tc>
        <w:tc>
          <w:tcPr>
            <w:tcW w:w="850" w:type="dxa"/>
            <w:vAlign w:val="center"/>
          </w:tcPr>
          <w:p>
            <w:pPr>
              <w:spacing w:before="20" w:after="20" w:line="240" w:lineRule="auto"/>
              <w:jc w:val="center"/>
            </w:pPr>
            <w:r>
              <w:rPr>
                <w:rFonts w:ascii="Times New Roman" w:eastAsia="SimSun" w:hAnsi="Times New Roman"/>
                <w:sz w:val="21"/>
              </w:rPr>
              <w:t xml:space="preserve">0.926</w:t>
            </w:r>
          </w:p>
        </w:tc>
        <w:tc>
          <w:tcPr>
            <w:tcW w:w="760" w:type="dxa"/>
            <w:vAlign w:val="center"/>
          </w:tcPr>
          <w:p>
            <w:pPr>
              <w:spacing w:before="20" w:after="20" w:line="240" w:lineRule="auto"/>
              <w:jc w:val="center"/>
            </w:pPr>
            <w:r>
              <w:rPr>
                <w:rFonts w:ascii="Times New Roman" w:eastAsia="SimSun" w:hAnsi="Times New Roman"/>
                <w:sz w:val="21"/>
              </w:rPr>
              <w:t xml:space="preserve">0.912</w:t>
            </w:r>
          </w:p>
        </w:tc>
        <w:tc>
          <w:tcPr>
            <w:tcW w:w="880" w:type="dxa"/>
            <w:vAlign w:val="center"/>
          </w:tcPr>
          <w:p>
            <w:pPr>
              <w:spacing w:before="20" w:after="20" w:line="240" w:lineRule="auto"/>
              <w:jc w:val="center"/>
            </w:pPr>
            <w:r>
              <w:rPr>
                <w:rFonts w:ascii="Times New Roman" w:eastAsia="SimSun" w:hAnsi="Times New Roman"/>
                <w:sz w:val="21"/>
              </w:rPr>
              <w:t xml:space="preserve">0.928</w:t>
            </w:r>
          </w:p>
        </w:tc>
        <w:tc>
          <w:tcPr>
            <w:tcW w:w="880" w:type="dxa"/>
            <w:vAlign w:val="center"/>
          </w:tcPr>
          <w:p>
            <w:pPr>
              <w:spacing w:before="20" w:after="20" w:line="240" w:lineRule="auto"/>
              <w:jc w:val="center"/>
            </w:pPr>
            <w:r>
              <w:rPr>
                <w:rFonts w:ascii="Times New Roman" w:eastAsia="SimSun" w:hAnsi="Times New Roman"/>
                <w:sz w:val="21"/>
              </w:rPr>
              <w:t xml:space="preserve">1.000</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54</w:t>
            </w:r>
          </w:p>
        </w:tc>
        <w:tc>
          <w:tcPr>
            <w:tcW w:w="760" w:type="dxa"/>
            <w:vAlign w:val="center"/>
          </w:tcPr>
          <w:p>
            <w:pPr>
              <w:spacing w:before="20" w:after="20" w:line="240" w:lineRule="auto"/>
              <w:jc w:val="center"/>
            </w:pPr>
            <w:r>
              <w:rPr>
                <w:rFonts w:ascii="Times New Roman" w:eastAsia="SimSun" w:hAnsi="Times New Roman"/>
                <w:sz w:val="21"/>
              </w:rPr>
              <w:t xml:space="preserve">0.400</w:t>
            </w:r>
          </w:p>
        </w:tc>
      </w:tr>
    </w:tbl>
    <w:p>
      <w:pPr>
        <w:spacing w:before="60" w:after="120" w:line="300" w:lineRule="auto"/>
        <w:jc w:val="both"/>
      </w:pPr>
      <w:r>
        <w:rPr>
          <w:rFonts w:ascii="Times New Roman" w:eastAsia="SimSun" w:hAnsi="Times New Roman"/>
          <w:sz w:val="21"/>
        </w:rPr>
        <w:t xml:space="preserve">注：A类高估为参考A级被判为B或C的数量；升级率为输出C级的比例。</w:t>
      </w:r>
    </w:p>
    <w:p>
      <w:pPr>
        <w:keepNext/>
        <w:spacing w:before="120" w:after="60"/>
        <w:jc w:val="center"/>
      </w:pPr>
      <w:r>
        <w:rPr>
          <w:noProof/>
          <w:lang w:eastAsia="zh-CN"/>
        </w:rPr>
        <w:drawing>
          <wp:inline distT="0" distB="0" distL="0" distR="0">
            <wp:extent cx="5760720" cy="2135412"/>
            <wp:effectExtent l="0" t="0" r="0" b="0"/>
            <wp:docPr id="4" name="图片 4" descr="图5.4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5_4_error_structure.png"/>
                    <pic:cNvPicPr/>
                  </pic:nvPicPr>
                  <pic:blipFill>
                    <a:blip r:embed="rId103"/>
                    <a:stretch>
                      <a:fillRect/>
                    </a:stretch>
                  </pic:blipFill>
                  <pic:spPr>
                    <a:xfrm>
                      <a:off x="0" y="0"/>
                      <a:ext cx="5760720" cy="2135412"/>
                    </a:xfrm>
                    <a:prstGeom prst="rect">
                      <a:avLst/>
                    </a:prstGeom>
                  </pic:spPr>
                </pic:pic>
              </a:graphicData>
            </a:graphic>
          </wp:inline>
        </w:drawing>
      </w:r>
    </w:p>
    <w:p>
      <w:pPr>
        <w:spacing w:after="120"/>
        <w:jc w:val="center"/>
      </w:pPr>
      <w:r>
        <w:rPr>
          <w:rFonts w:ascii="Times New Roman" w:eastAsia="SimSun" w:hAnsi="Times New Roman"/>
          <w:sz w:val="21"/>
        </w:rPr>
        <w:t xml:space="preserve">图5.4  875条受控记录上的错误结构</w:t>
      </w:r>
    </w:p>
    <w:p>
      <w:pPr>
        <w:spacing w:after="0" w:line="360" w:lineRule="auto"/>
        <w:ind w:firstLine="480"/>
        <w:jc w:val="both"/>
      </w:pPr>
      <w:r>
        <w:rPr>
          <w:rFonts w:ascii="Times New Roman" w:eastAsia="SimSun" w:hAnsi="Times New Roman"/>
          <w:sz w:val="24"/>
        </w:rPr>
        <w:t xml:space="preserve">学习层提高了总体指标却改变了错误方向：多数投票森林的51个C类漏判全部是C→A；阈值策略准确率0.873，与规则链的差异不显著（</w:t>
      </w:r>
      <w:r>
        <w:rPr>
          <w:rFonts w:ascii="Times New Roman" w:eastAsia="SimSun" w:hAnsi="Times New Roman"/>
          <w:i/>
          <w:sz w:val="24"/>
        </w:rPr>
        <w:t xml:space="preserve">p</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1</w:t>
      </w:r>
      <w:r>
        <w:rPr>
          <w:rFonts w:ascii="Times New Roman" w:eastAsia="SimSun" w:hAnsi="Times New Roman"/>
          <w:sz w:val="24"/>
        </w:rPr>
        <w:t xml:space="preserve">），50个C类漏判也全部为C→A。0.01网格上的10 000组阈值中没有一组把C→A降到50以下（图5.5）；宏F1最优组合(0.19, 0.06)达0.890但产生24个A类高估；C类权重增至6才消除C→A，代价是准确率降至0.707、350个A级记录中179个被升级。原因是特征盲区而非阈值：全部50个C→A出现在穿堤建筑物情景，其125条记录从安全到临界共享同一个与安全基准相同的14维特征向量，任何只依赖这些特征的函数都无法区分其严重度（图5.4d）。</w:t>
      </w:r>
    </w:p>
    <w:p>
      <w:pPr>
        <w:keepNext/>
        <w:spacing w:before="120" w:after="60"/>
        <w:jc w:val="center"/>
      </w:pPr>
      <w:r>
        <w:rPr>
          <w:noProof/>
          <w:lang w:eastAsia="zh-CN"/>
        </w:rPr>
        <w:drawing>
          <wp:inline distT="0" distB="0" distL="0" distR="0">
            <wp:extent cx="5120640" cy="2383839"/>
            <wp:effectExtent l="0" t="0" r="0" b="0"/>
            <wp:docPr id="5" name="图片 5" descr="图5.5  宏平均F1与直接C→A低估数的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5_5_safety_tradeoff.png"/>
                    <pic:cNvPicPr/>
                  </pic:nvPicPr>
                  <pic:blipFill>
                    <a:blip r:embed="rId104"/>
                    <a:stretch>
                      <a:fillRect/>
                    </a:stretch>
                  </pic:blipFill>
                  <pic:spPr>
                    <a:xfrm>
                      <a:off x="0" y="0"/>
                      <a:ext cx="5120640" cy="2383839"/>
                    </a:xfrm>
                    <a:prstGeom prst="rect">
                      <a:avLst/>
                    </a:prstGeom>
                  </pic:spPr>
                </pic:pic>
              </a:graphicData>
            </a:graphic>
          </wp:inline>
        </w:drawing>
      </w:r>
    </w:p>
    <w:p>
      <w:pPr>
        <w:spacing w:after="120"/>
        <w:jc w:val="center"/>
      </w:pPr>
      <w:r>
        <w:rPr>
          <w:rFonts w:ascii="Times New Roman" w:eastAsia="SimSun" w:hAnsi="Times New Roman"/>
          <w:sz w:val="21"/>
        </w:rPr>
        <w:t xml:space="preserve">图5.5  宏平均F1与直接C→A低估数的关系</w:t>
      </w:r>
    </w:p>
    <w:p>
      <w:pPr>
        <w:keepNext/>
        <w:spacing w:before="120" w:after="120" w:line="360" w:lineRule="auto"/>
      </w:pPr>
      <w:r>
        <w:rPr>
          <w:rFonts w:ascii="Times New Roman" w:eastAsia="SimHei" w:hAnsi="Times New Roman"/>
          <w:b/>
          <w:sz w:val="24"/>
        </w:rPr>
        <w:t xml:space="preserve">5.8.3  序数物理下限的修正效果与稳健性</w:t>
      </w:r>
    </w:p>
    <w:p>
      <w:pPr>
        <w:spacing w:after="0" w:line="360" w:lineRule="auto"/>
        <w:ind w:firstLine="480"/>
        <w:jc w:val="both"/>
      </w:pPr>
      <w:r>
        <w:rPr>
          <w:rFonts w:ascii="Times New Roman" w:eastAsia="SimSun" w:hAnsi="Times New Roman"/>
          <w:sz w:val="24"/>
        </w:rPr>
        <w:t xml:space="preserve">RF+序数物理下限的准确率为0.926、宏平均F1为0.912、平衡准确率为0.928，C类召回率为1.000，安全损失为0。相对规则链，它修正136个错误中的71个且不引入新错误（</w:t>
      </w:r>
      <w:r>
        <w:rPr>
          <w:rFonts w:ascii="Times New Roman" w:eastAsia="SimSun" w:hAnsi="Times New Roman"/>
          <w:i/>
          <w:sz w:val="24"/>
        </w:rPr>
        <w:t xml:space="preserve">p</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vertAlign w:val="superscript"/>
        </w:rPr>
        <w:t xml:space="preserve">−</w:t>
      </w:r>
      <w:r>
        <w:rPr>
          <w:rFonts w:ascii="Times New Roman" w:eastAsia="SimSun" w:hAnsi="Times New Roman"/>
          <w:sz w:val="24"/>
          <w:vertAlign w:val="superscript"/>
        </w:rPr>
        <w:t xml:space="preserve">2</w:t>
      </w:r>
      <w:r>
        <w:rPr>
          <w:rFonts w:ascii="Times New Roman" w:eastAsia="SimSun" w:hAnsi="Times New Roman"/>
          <w:sz w:val="24"/>
          <w:vertAlign w:val="superscript"/>
        </w:rPr>
        <w:t xml:space="preserve">0</w:t>
      </w:r>
      <w:r>
        <w:rPr>
          <w:rFonts w:ascii="Times New Roman" w:eastAsia="SimSun" w:hAnsi="Times New Roman"/>
          <w:sz w:val="24"/>
        </w:rPr>
        <w:t xml:space="preserve">），分组Bootstrap给出准确率提高8.1个百分点（95%区间5.4—11.5），安全损失降低57（−72至−42）；相对RF阈值策略，它修正100个学习层错误并带回规则链自身的54个A→B保守错误；两者漏判的C类记录交集为0，正是命题5.1所需的错误互补性。</w:t>
      </w:r>
    </w:p>
    <w:p>
      <w:pPr>
        <w:spacing w:after="0" w:line="360" w:lineRule="auto"/>
        <w:ind w:firstLine="480"/>
        <w:jc w:val="both"/>
      </w:pPr>
      <w:r>
        <w:rPr>
          <w:rFonts w:ascii="Times New Roman" w:eastAsia="SimSun" w:hAnsi="Times New Roman"/>
          <w:sz w:val="24"/>
        </w:rPr>
        <w:t xml:space="preserve">在5个附加批次上，RF阈值策略准确率为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7</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 而每批仍有 </w:t>
      </w:r>
      <w:r>
        <w:rPr>
          <w:rFonts w:ascii="Times New Roman" w:eastAsia="SimSun" w:hAnsi="Times New Roman"/>
          <w:sz w:val="24"/>
        </w:rPr>
        <w:t xml:space="preserve">5</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 个C→A，其相对规则链（</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4</w:t>
      </w:r>
      <w:r>
        <w:rPr>
          <w:rFonts w:ascii="Times New Roman" w:eastAsia="SimSun" w:hAnsi="Times New Roman"/>
          <w:sz w:val="24"/>
        </w:rPr>
        <w:t xml:space="preserve">7</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2</w:t>
      </w:r>
      <w:r>
        <w:rPr>
          <w:rFonts w:ascii="Times New Roman" w:eastAsia="SimSun" w:hAnsi="Times New Roman"/>
          <w:sz w:val="24"/>
        </w:rPr>
        <w:t xml:space="preserve">）的优势只在1个批次达到 </w:t>
      </w:r>
      <w:r>
        <w:rPr>
          <w:rFonts w:ascii="Times New Roman" w:eastAsia="SimSun" w:hAnsi="Times New Roman"/>
          <w:i/>
          <w:sz w:val="24"/>
        </w:rPr>
        <w:t xml:space="preserve">p</w:t>
      </w:r>
      <w:r>
        <w:rPr>
          <w:rFonts w:ascii="Times New Roman" w:eastAsia="SimSun" w:hAnsi="Times New Roman"/>
          <w:sz w:val="24"/>
        </w:rPr>
        <w:t xml:space="preserve"> &lt;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5</w:t>
      </w:r>
      <w:r>
        <w:rPr>
          <w:rFonts w:ascii="Times New Roman" w:eastAsia="SimSun" w:hAnsi="Times New Roman"/>
          <w:sz w:val="24"/>
        </w:rPr>
        <w:t xml:space="preserve">；RF+序数物理下限准确率为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、宏平均F1为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0</w:t>
      </w:r>
      <w:r>
        <w:rPr>
          <w:rFonts w:ascii="Times New Roman" w:eastAsia="SimSun" w:hAnsi="Times New Roman"/>
          <w:sz w:val="24"/>
        </w:rPr>
        <w:t xml:space="preserve">6</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5</w:t>
      </w:r>
      <w:r>
        <w:rPr>
          <w:rFonts w:ascii="Times New Roman" w:eastAsia="SimSun" w:hAnsi="Times New Roman"/>
          <w:sz w:val="24"/>
        </w:rPr>
        <w:t xml:space="preserve">、C类召回率为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9</w:t>
      </w:r>
      <w:r>
        <w:rPr>
          <w:rFonts w:ascii="Times New Roman" w:eastAsia="SimSun" w:hAnsi="Times New Roman"/>
          <w:sz w:val="24"/>
        </w:rPr>
        <w:t xml:space="preserve">8</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，每批修正61—68个规则链错误且从未引入新错误。C-only下限准确率略高（0.930）但平衡准确率仅0.884，且在种子20260932中对两部分共同漏判的3条C级记录输出A，而序数下限输出B。复核门在 </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0</w:t>
      </w:r>
      <w:r>
        <w:rPr>
          <w:rFonts w:ascii="Times New Roman" w:eastAsia="SimSun" w:hAnsi="Times New Roman"/>
          <w:sz w:val="24"/>
        </w:rPr>
        <w:t xml:space="preserve"> 时平均复核率1.5%±0.7%、安全损失 </w:t>
      </w:r>
      <w:r>
        <w:rPr>
          <w:rFonts w:ascii="Times New Roman" w:eastAsia="SimSun" w:hAnsi="Times New Roman"/>
          <w:sz w:val="24"/>
        </w:rPr>
        <w:t xml:space="preserve">3</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0</w:t>
      </w:r>
      <w:r>
        <w:rPr>
          <w:rFonts w:ascii="Times New Roman" w:eastAsia="SimSun" w:hAnsi="Times New Roman"/>
          <w:sz w:val="24"/>
        </w:rPr>
        <w:t xml:space="preserve"> 时为6.6%±0.9%与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；因离线实验以规则等级代替工程师复核，这些数字衡量的是回退代理成本而非真实复核效果。</w:t>
      </w:r>
    </w:p>
    <w:p>
      <w:pPr>
        <w:keepNext/>
        <w:spacing w:before="120" w:after="120" w:line="360" w:lineRule="auto"/>
      </w:pPr>
      <w:r>
        <w:rPr>
          <w:rFonts w:ascii="Times New Roman" w:eastAsia="SimHei" w:hAnsi="Times New Roman"/>
          <w:b/>
          <w:sz w:val="24"/>
        </w:rPr>
        <w:t xml:space="preserve">5.8.4  对比基线与帕累托策略选择</w:t>
      </w:r>
    </w:p>
    <w:p>
      <w:pPr>
        <w:spacing w:after="0" w:line="360" w:lineRule="auto"/>
        <w:ind w:firstLine="480"/>
        <w:jc w:val="both"/>
      </w:pPr>
      <w:r>
        <w:rPr>
          <w:rFonts w:ascii="Times New Roman" w:eastAsia="SimSun" w:hAnsi="Times New Roman"/>
          <w:sz w:val="24"/>
        </w:rPr>
        <w:t xml:space="preserve">为检验结论是否只属于随机森林，加入逻辑回归、序数逻辑回归、SVM、GBDT、期望代价RF以及软投票、置信度切换、堆叠RF三种使用规则等级的融合方式，并把每个学习器与序数下限组合（表5.6）。</w:t>
      </w:r>
    </w:p>
    <w:p>
      <w:pPr>
        <w:keepNext/>
        <w:spacing w:before="120" w:after="60" w:line="240" w:lineRule="auto"/>
        <w:jc w:val="center"/>
      </w:pPr>
      <w:r>
        <w:rPr>
          <w:rFonts w:ascii="Times New Roman" w:eastAsia="SimSun" w:hAnsi="Times New Roman"/>
          <w:sz w:val="21"/>
        </w:rPr>
        <w:t xml:space="preserve">表5.6  对比基线与序数下限组合</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826"/>
        <w:gridCol w:w="800"/>
        <w:gridCol w:w="760"/>
        <w:gridCol w:w="880"/>
        <w:gridCol w:w="640"/>
        <w:gridCol w:w="700"/>
        <w:gridCol w:w="700"/>
        <w:gridCol w:w="700"/>
        <w:gridCol w:w="1400"/>
      </w:tblGrid>
      <w:tr>
        <w:trPr>
          <w:tblHeader/>
          <w:cantSplit/>
          <w:jc w:val="center"/>
        </w:trPr>
        <w:tc>
          <w:tcPr>
            <w:tcW w:w="282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方法</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准确率</w:t>
            </w:r>
          </w:p>
        </w:tc>
        <w:tc>
          <w:tcPr>
            <w:tcW w:w="76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宏F1</w:t>
            </w:r>
          </w:p>
        </w:tc>
        <w:tc>
          <w:tcPr>
            <w:tcW w:w="88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平衡准确率</w:t>
            </w:r>
          </w:p>
        </w:tc>
        <w:tc>
          <w:tcPr>
            <w:tcW w:w="64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C→A</w:t>
            </w:r>
          </w:p>
        </w:tc>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安全损失</w:t>
            </w:r>
          </w:p>
        </w:tc>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低于规则</w:t>
            </w:r>
          </w:p>
        </w:tc>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新增错误</w:t>
            </w:r>
          </w:p>
        </w:tc>
        <w:tc>
          <w:tcPr>
            <w:tcW w:w="1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五批次准确率</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规则链</w:t>
            </w:r>
          </w:p>
        </w:tc>
        <w:tc>
          <w:tcPr>
            <w:tcW w:w="800" w:type="dxa"/>
            <w:vAlign w:val="center"/>
          </w:tcPr>
          <w:p>
            <w:pPr>
              <w:spacing w:before="20" w:after="20" w:line="240" w:lineRule="auto"/>
              <w:jc w:val="center"/>
            </w:pPr>
            <w:r>
              <w:rPr>
                <w:rFonts w:ascii="Times New Roman" w:eastAsia="SimSun" w:hAnsi="Times New Roman"/>
                <w:sz w:val="21"/>
              </w:rPr>
              <w:t xml:space="preserve">0.845</w:t>
            </w:r>
          </w:p>
        </w:tc>
        <w:tc>
          <w:tcPr>
            <w:tcW w:w="760" w:type="dxa"/>
            <w:vAlign w:val="center"/>
          </w:tcPr>
          <w:p>
            <w:pPr>
              <w:spacing w:before="20" w:after="20" w:line="240" w:lineRule="auto"/>
              <w:jc w:val="center"/>
            </w:pPr>
            <w:r>
              <w:rPr>
                <w:rFonts w:ascii="Times New Roman" w:eastAsia="SimSun" w:hAnsi="Times New Roman"/>
                <w:sz w:val="21"/>
              </w:rPr>
              <w:t xml:space="preserve">0.827</w:t>
            </w:r>
          </w:p>
        </w:tc>
        <w:tc>
          <w:tcPr>
            <w:tcW w:w="880" w:type="dxa"/>
            <w:vAlign w:val="center"/>
          </w:tcPr>
          <w:p>
            <w:pPr>
              <w:spacing w:before="20" w:after="20" w:line="240" w:lineRule="auto"/>
              <w:jc w:val="center"/>
            </w:pPr>
            <w:r>
              <w:rPr>
                <w:rFonts w:ascii="Times New Roman" w:eastAsia="SimSun" w:hAnsi="Times New Roman"/>
                <w:sz w:val="21"/>
              </w:rPr>
              <w:t xml:space="preserve">0.847</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57</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w:t>
            </w:r>
          </w:p>
        </w:tc>
        <w:tc>
          <w:tcPr>
            <w:tcW w:w="1400" w:type="dxa"/>
            <w:vAlign w:val="center"/>
          </w:tcPr>
          <w:p>
            <w:pPr>
              <w:spacing w:before="20" w:after="20" w:line="240" w:lineRule="auto"/>
              <w:jc w:val="center"/>
            </w:pPr>
            <w:r>
              <w:rPr>
                <w:rFonts w:ascii="Times New Roman" w:eastAsia="SimSun" w:hAnsi="Times New Roman"/>
                <w:sz w:val="21"/>
              </w:rPr>
              <w:t xml:space="preserve">0.847±0.002</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逻辑回归</w:t>
            </w:r>
          </w:p>
        </w:tc>
        <w:tc>
          <w:tcPr>
            <w:tcW w:w="800" w:type="dxa"/>
            <w:vAlign w:val="center"/>
          </w:tcPr>
          <w:p>
            <w:pPr>
              <w:spacing w:before="20" w:after="20" w:line="240" w:lineRule="auto"/>
              <w:jc w:val="center"/>
            </w:pPr>
            <w:r>
              <w:rPr>
                <w:rFonts w:ascii="Times New Roman" w:eastAsia="SimSun" w:hAnsi="Times New Roman"/>
                <w:sz w:val="21"/>
              </w:rPr>
              <w:t xml:space="preserve">0.815</w:t>
            </w:r>
          </w:p>
        </w:tc>
        <w:tc>
          <w:tcPr>
            <w:tcW w:w="760" w:type="dxa"/>
            <w:vAlign w:val="center"/>
          </w:tcPr>
          <w:p>
            <w:pPr>
              <w:spacing w:before="20" w:after="20" w:line="240" w:lineRule="auto"/>
              <w:jc w:val="center"/>
            </w:pPr>
            <w:r>
              <w:rPr>
                <w:rFonts w:ascii="Times New Roman" w:eastAsia="SimSun" w:hAnsi="Times New Roman"/>
                <w:sz w:val="21"/>
              </w:rPr>
              <w:t xml:space="preserve">0.764</w:t>
            </w:r>
          </w:p>
        </w:tc>
        <w:tc>
          <w:tcPr>
            <w:tcW w:w="880" w:type="dxa"/>
            <w:vAlign w:val="center"/>
          </w:tcPr>
          <w:p>
            <w:pPr>
              <w:spacing w:before="20" w:after="20" w:line="240" w:lineRule="auto"/>
              <w:jc w:val="center"/>
            </w:pPr>
            <w:r>
              <w:rPr>
                <w:rFonts w:ascii="Times New Roman" w:eastAsia="SimSun" w:hAnsi="Times New Roman"/>
                <w:sz w:val="21"/>
              </w:rPr>
              <w:t xml:space="preserve">0.751</w:t>
            </w:r>
          </w:p>
        </w:tc>
        <w:tc>
          <w:tcPr>
            <w:tcW w:w="640" w:type="dxa"/>
            <w:vAlign w:val="center"/>
          </w:tcPr>
          <w:p>
            <w:pPr>
              <w:spacing w:before="20" w:after="20" w:line="240" w:lineRule="auto"/>
              <w:jc w:val="center"/>
            </w:pPr>
            <w:r>
              <w:rPr>
                <w:rFonts w:ascii="Times New Roman" w:eastAsia="SimSun" w:hAnsi="Times New Roman"/>
                <w:sz w:val="21"/>
              </w:rPr>
              <w:t xml:space="preserve">51</w:t>
            </w:r>
          </w:p>
        </w:tc>
        <w:tc>
          <w:tcPr>
            <w:tcW w:w="700" w:type="dxa"/>
            <w:vAlign w:val="center"/>
          </w:tcPr>
          <w:p>
            <w:pPr>
              <w:spacing w:before="20" w:after="20" w:line="240" w:lineRule="auto"/>
              <w:jc w:val="center"/>
            </w:pPr>
            <w:r>
              <w:rPr>
                <w:rFonts w:ascii="Times New Roman" w:eastAsia="SimSun" w:hAnsi="Times New Roman"/>
                <w:sz w:val="21"/>
              </w:rPr>
              <w:t xml:space="preserve">102</w:t>
            </w:r>
          </w:p>
        </w:tc>
        <w:tc>
          <w:tcPr>
            <w:tcW w:w="700" w:type="dxa"/>
            <w:vAlign w:val="center"/>
          </w:tcPr>
          <w:p>
            <w:pPr>
              <w:spacing w:before="20" w:after="20" w:line="240" w:lineRule="auto"/>
              <w:jc w:val="center"/>
            </w:pPr>
            <w:r>
              <w:rPr>
                <w:rFonts w:ascii="Times New Roman" w:eastAsia="SimSun" w:hAnsi="Times New Roman"/>
                <w:sz w:val="21"/>
              </w:rPr>
              <w:t xml:space="preserve">128</w:t>
            </w:r>
          </w:p>
        </w:tc>
        <w:tc>
          <w:tcPr>
            <w:tcW w:w="700" w:type="dxa"/>
            <w:vAlign w:val="center"/>
          </w:tcPr>
          <w:p>
            <w:pPr>
              <w:spacing w:before="20" w:after="20" w:line="240" w:lineRule="auto"/>
              <w:jc w:val="center"/>
            </w:pPr>
            <w:r>
              <w:rPr>
                <w:rFonts w:ascii="Times New Roman" w:eastAsia="SimSun" w:hAnsi="Times New Roman"/>
                <w:sz w:val="21"/>
              </w:rPr>
              <w:t xml:space="preserve">128</w:t>
            </w:r>
          </w:p>
        </w:tc>
        <w:tc>
          <w:tcPr>
            <w:tcW w:w="1400" w:type="dxa"/>
            <w:vAlign w:val="center"/>
          </w:tcPr>
          <w:p>
            <w:pPr>
              <w:spacing w:before="20" w:after="20" w:line="240" w:lineRule="auto"/>
              <w:jc w:val="center"/>
            </w:pPr>
            <w:r>
              <w:rPr>
                <w:rFonts w:ascii="Times New Roman" w:eastAsia="SimSun" w:hAnsi="Times New Roman"/>
                <w:sz w:val="21"/>
              </w:rPr>
              <w:t xml:space="preserve">0.828±0.006</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SVM</w:t>
            </w:r>
          </w:p>
        </w:tc>
        <w:tc>
          <w:tcPr>
            <w:tcW w:w="800" w:type="dxa"/>
            <w:vAlign w:val="center"/>
          </w:tcPr>
          <w:p>
            <w:pPr>
              <w:spacing w:before="20" w:after="20" w:line="240" w:lineRule="auto"/>
              <w:jc w:val="center"/>
            </w:pPr>
            <w:r>
              <w:rPr>
                <w:rFonts w:ascii="Times New Roman" w:eastAsia="SimSun" w:hAnsi="Times New Roman"/>
                <w:sz w:val="21"/>
              </w:rPr>
              <w:t xml:space="preserve">0.839</w:t>
            </w:r>
          </w:p>
        </w:tc>
        <w:tc>
          <w:tcPr>
            <w:tcW w:w="760" w:type="dxa"/>
            <w:vAlign w:val="center"/>
          </w:tcPr>
          <w:p>
            <w:pPr>
              <w:spacing w:before="20" w:after="20" w:line="240" w:lineRule="auto"/>
              <w:jc w:val="center"/>
            </w:pPr>
            <w:r>
              <w:rPr>
                <w:rFonts w:ascii="Times New Roman" w:eastAsia="SimSun" w:hAnsi="Times New Roman"/>
                <w:sz w:val="21"/>
              </w:rPr>
              <w:t xml:space="preserve">0.829</w:t>
            </w:r>
          </w:p>
        </w:tc>
        <w:tc>
          <w:tcPr>
            <w:tcW w:w="880" w:type="dxa"/>
            <w:vAlign w:val="center"/>
          </w:tcPr>
          <w:p>
            <w:pPr>
              <w:spacing w:before="20" w:after="20" w:line="240" w:lineRule="auto"/>
              <w:jc w:val="center"/>
            </w:pPr>
            <w:r>
              <w:rPr>
                <w:rFonts w:ascii="Times New Roman" w:eastAsia="SimSun" w:hAnsi="Times New Roman"/>
                <w:sz w:val="21"/>
              </w:rPr>
              <w:t xml:space="preserve">0.808</w:t>
            </w:r>
          </w:p>
        </w:tc>
        <w:tc>
          <w:tcPr>
            <w:tcW w:w="640" w:type="dxa"/>
            <w:vAlign w:val="center"/>
          </w:tcPr>
          <w:p>
            <w:pPr>
              <w:spacing w:before="20" w:after="20" w:line="240" w:lineRule="auto"/>
              <w:jc w:val="center"/>
            </w:pPr>
            <w:r>
              <w:rPr>
                <w:rFonts w:ascii="Times New Roman" w:eastAsia="SimSun" w:hAnsi="Times New Roman"/>
                <w:sz w:val="21"/>
              </w:rPr>
              <w:t xml:space="preserve">63</w:t>
            </w:r>
          </w:p>
        </w:tc>
        <w:tc>
          <w:tcPr>
            <w:tcW w:w="700" w:type="dxa"/>
            <w:vAlign w:val="center"/>
          </w:tcPr>
          <w:p>
            <w:pPr>
              <w:spacing w:before="20" w:after="20" w:line="240" w:lineRule="auto"/>
              <w:jc w:val="center"/>
            </w:pPr>
            <w:r>
              <w:rPr>
                <w:rFonts w:ascii="Times New Roman" w:eastAsia="SimSun" w:hAnsi="Times New Roman"/>
                <w:sz w:val="21"/>
              </w:rPr>
              <w:t xml:space="preserve">126</w:t>
            </w:r>
          </w:p>
        </w:tc>
        <w:tc>
          <w:tcPr>
            <w:tcW w:w="700" w:type="dxa"/>
            <w:vAlign w:val="center"/>
          </w:tcPr>
          <w:p>
            <w:pPr>
              <w:spacing w:before="20" w:after="20" w:line="240" w:lineRule="auto"/>
              <w:jc w:val="center"/>
            </w:pPr>
            <w:r>
              <w:rPr>
                <w:rFonts w:ascii="Times New Roman" w:eastAsia="SimSun" w:hAnsi="Times New Roman"/>
                <w:sz w:val="21"/>
              </w:rPr>
              <w:t xml:space="preserve">142</w:t>
            </w:r>
          </w:p>
        </w:tc>
        <w:tc>
          <w:tcPr>
            <w:tcW w:w="700" w:type="dxa"/>
            <w:vAlign w:val="center"/>
          </w:tcPr>
          <w:p>
            <w:pPr>
              <w:spacing w:before="20" w:after="20" w:line="240" w:lineRule="auto"/>
              <w:jc w:val="center"/>
            </w:pPr>
            <w:r>
              <w:rPr>
                <w:rFonts w:ascii="Times New Roman" w:eastAsia="SimSun" w:hAnsi="Times New Roman"/>
                <w:sz w:val="21"/>
              </w:rPr>
              <w:t xml:space="preserve">109</w:t>
            </w:r>
          </w:p>
        </w:tc>
        <w:tc>
          <w:tcPr>
            <w:tcW w:w="1400" w:type="dxa"/>
            <w:vAlign w:val="center"/>
          </w:tcPr>
          <w:p>
            <w:pPr>
              <w:spacing w:before="20" w:after="20" w:line="240" w:lineRule="auto"/>
              <w:jc w:val="center"/>
            </w:pPr>
            <w:r>
              <w:rPr>
                <w:rFonts w:ascii="Times New Roman" w:eastAsia="SimSun" w:hAnsi="Times New Roman"/>
                <w:sz w:val="21"/>
              </w:rPr>
              <w:t xml:space="preserve">0.845±0.004</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GBDT</w:t>
            </w:r>
          </w:p>
        </w:tc>
        <w:tc>
          <w:tcPr>
            <w:tcW w:w="800" w:type="dxa"/>
            <w:vAlign w:val="center"/>
          </w:tcPr>
          <w:p>
            <w:pPr>
              <w:spacing w:before="20" w:after="20" w:line="240" w:lineRule="auto"/>
              <w:jc w:val="center"/>
            </w:pPr>
            <w:r>
              <w:rPr>
                <w:rFonts w:ascii="Times New Roman" w:eastAsia="SimSun" w:hAnsi="Times New Roman"/>
                <w:sz w:val="21"/>
              </w:rPr>
              <w:t xml:space="preserve">0.906</w:t>
            </w:r>
          </w:p>
        </w:tc>
        <w:tc>
          <w:tcPr>
            <w:tcW w:w="760" w:type="dxa"/>
            <w:vAlign w:val="center"/>
          </w:tcPr>
          <w:p>
            <w:pPr>
              <w:spacing w:before="20" w:after="20" w:line="240" w:lineRule="auto"/>
              <w:jc w:val="center"/>
            </w:pPr>
            <w:r>
              <w:rPr>
                <w:rFonts w:ascii="Times New Roman" w:eastAsia="SimSun" w:hAnsi="Times New Roman"/>
                <w:sz w:val="21"/>
              </w:rPr>
              <w:t xml:space="preserve">0.906</w:t>
            </w:r>
          </w:p>
        </w:tc>
        <w:tc>
          <w:tcPr>
            <w:tcW w:w="880" w:type="dxa"/>
            <w:vAlign w:val="center"/>
          </w:tcPr>
          <w:p>
            <w:pPr>
              <w:spacing w:before="20" w:after="20" w:line="240" w:lineRule="auto"/>
              <w:jc w:val="center"/>
            </w:pPr>
            <w:r>
              <w:rPr>
                <w:rFonts w:ascii="Times New Roman" w:eastAsia="SimSun" w:hAnsi="Times New Roman"/>
                <w:sz w:val="21"/>
              </w:rPr>
              <w:t xml:space="preserve">0.895</w:t>
            </w:r>
          </w:p>
        </w:tc>
        <w:tc>
          <w:tcPr>
            <w:tcW w:w="640" w:type="dxa"/>
            <w:vAlign w:val="center"/>
          </w:tcPr>
          <w:p>
            <w:pPr>
              <w:spacing w:before="20" w:after="20" w:line="240" w:lineRule="auto"/>
              <w:jc w:val="center"/>
            </w:pPr>
            <w:r>
              <w:rPr>
                <w:rFonts w:ascii="Times New Roman" w:eastAsia="SimSun" w:hAnsi="Times New Roman"/>
                <w:sz w:val="21"/>
              </w:rPr>
              <w:t xml:space="preserve">50</w:t>
            </w:r>
          </w:p>
        </w:tc>
        <w:tc>
          <w:tcPr>
            <w:tcW w:w="700" w:type="dxa"/>
            <w:vAlign w:val="center"/>
          </w:tcPr>
          <w:p>
            <w:pPr>
              <w:spacing w:before="20" w:after="20" w:line="240" w:lineRule="auto"/>
              <w:jc w:val="center"/>
            </w:pPr>
            <w:r>
              <w:rPr>
                <w:rFonts w:ascii="Times New Roman" w:eastAsia="SimSun" w:hAnsi="Times New Roman"/>
                <w:sz w:val="21"/>
              </w:rPr>
              <w:t xml:space="preserve">102</w:t>
            </w:r>
          </w:p>
        </w:tc>
        <w:tc>
          <w:tcPr>
            <w:tcW w:w="700" w:type="dxa"/>
            <w:vAlign w:val="center"/>
          </w:tcPr>
          <w:p>
            <w:pPr>
              <w:spacing w:before="20" w:after="20" w:line="240" w:lineRule="auto"/>
              <w:jc w:val="center"/>
            </w:pPr>
            <w:r>
              <w:rPr>
                <w:rFonts w:ascii="Times New Roman" w:eastAsia="SimSun" w:hAnsi="Times New Roman"/>
                <w:sz w:val="21"/>
              </w:rPr>
              <w:t xml:space="preserve">130</w:t>
            </w:r>
          </w:p>
        </w:tc>
        <w:tc>
          <w:tcPr>
            <w:tcW w:w="700" w:type="dxa"/>
            <w:vAlign w:val="center"/>
          </w:tcPr>
          <w:p>
            <w:pPr>
              <w:spacing w:before="20" w:after="20" w:line="240" w:lineRule="auto"/>
              <w:jc w:val="center"/>
            </w:pPr>
            <w:r>
              <w:rPr>
                <w:rFonts w:ascii="Times New Roman" w:eastAsia="SimSun" w:hAnsi="Times New Roman"/>
                <w:sz w:val="21"/>
              </w:rPr>
              <w:t xml:space="preserve">78</w:t>
            </w:r>
          </w:p>
        </w:tc>
        <w:tc>
          <w:tcPr>
            <w:tcW w:w="1400" w:type="dxa"/>
            <w:vAlign w:val="center"/>
          </w:tcPr>
          <w:p>
            <w:pPr>
              <w:spacing w:before="20" w:after="20" w:line="240" w:lineRule="auto"/>
              <w:jc w:val="center"/>
            </w:pPr>
            <w:r>
              <w:rPr>
                <w:rFonts w:ascii="Times New Roman" w:eastAsia="SimSun" w:hAnsi="Times New Roman"/>
                <w:sz w:val="21"/>
              </w:rPr>
              <w:t xml:space="preserve">0.906±0.004</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RF阈值(0.35, 0.20)</w:t>
            </w:r>
          </w:p>
        </w:tc>
        <w:tc>
          <w:tcPr>
            <w:tcW w:w="800" w:type="dxa"/>
            <w:vAlign w:val="center"/>
          </w:tcPr>
          <w:p>
            <w:pPr>
              <w:spacing w:before="20" w:after="20" w:line="240" w:lineRule="auto"/>
              <w:jc w:val="center"/>
            </w:pPr>
            <w:r>
              <w:rPr>
                <w:rFonts w:ascii="Times New Roman" w:eastAsia="SimSun" w:hAnsi="Times New Roman"/>
                <w:sz w:val="21"/>
              </w:rPr>
              <w:t xml:space="preserve">0.873</w:t>
            </w:r>
          </w:p>
        </w:tc>
        <w:tc>
          <w:tcPr>
            <w:tcW w:w="760" w:type="dxa"/>
            <w:vAlign w:val="center"/>
          </w:tcPr>
          <w:p>
            <w:pPr>
              <w:spacing w:before="20" w:after="20" w:line="240" w:lineRule="auto"/>
              <w:jc w:val="center"/>
            </w:pPr>
            <w:r>
              <w:rPr>
                <w:rFonts w:ascii="Times New Roman" w:eastAsia="SimSun" w:hAnsi="Times New Roman"/>
                <w:sz w:val="21"/>
              </w:rPr>
              <w:t xml:space="preserve">0.858</w:t>
            </w:r>
          </w:p>
        </w:tc>
        <w:tc>
          <w:tcPr>
            <w:tcW w:w="880" w:type="dxa"/>
            <w:vAlign w:val="center"/>
          </w:tcPr>
          <w:p>
            <w:pPr>
              <w:spacing w:before="20" w:after="20" w:line="240" w:lineRule="auto"/>
              <w:jc w:val="center"/>
            </w:pPr>
            <w:r>
              <w:rPr>
                <w:rFonts w:ascii="Times New Roman" w:eastAsia="SimSun" w:hAnsi="Times New Roman"/>
                <w:sz w:val="21"/>
              </w:rPr>
              <w:t xml:space="preserve">0.836</w:t>
            </w:r>
          </w:p>
        </w:tc>
        <w:tc>
          <w:tcPr>
            <w:tcW w:w="640" w:type="dxa"/>
            <w:vAlign w:val="center"/>
          </w:tcPr>
          <w:p>
            <w:pPr>
              <w:spacing w:before="20" w:after="20" w:line="240" w:lineRule="auto"/>
              <w:jc w:val="center"/>
            </w:pPr>
            <w:r>
              <w:rPr>
                <w:rFonts w:ascii="Times New Roman" w:eastAsia="SimSun" w:hAnsi="Times New Roman"/>
                <w:sz w:val="21"/>
              </w:rPr>
              <w:t xml:space="preserve">50</w:t>
            </w:r>
          </w:p>
        </w:tc>
        <w:tc>
          <w:tcPr>
            <w:tcW w:w="700" w:type="dxa"/>
            <w:vAlign w:val="center"/>
          </w:tcPr>
          <w:p>
            <w:pPr>
              <w:spacing w:before="20" w:after="20" w:line="240" w:lineRule="auto"/>
              <w:jc w:val="center"/>
            </w:pPr>
            <w:r>
              <w:rPr>
                <w:rFonts w:ascii="Times New Roman" w:eastAsia="SimSun" w:hAnsi="Times New Roman"/>
                <w:sz w:val="21"/>
              </w:rPr>
              <w:t xml:space="preserve">100</w:t>
            </w:r>
          </w:p>
        </w:tc>
        <w:tc>
          <w:tcPr>
            <w:tcW w:w="700" w:type="dxa"/>
            <w:vAlign w:val="center"/>
          </w:tcPr>
          <w:p>
            <w:pPr>
              <w:spacing w:before="20" w:after="20" w:line="240" w:lineRule="auto"/>
              <w:jc w:val="center"/>
            </w:pPr>
            <w:r>
              <w:rPr>
                <w:rFonts w:ascii="Times New Roman" w:eastAsia="SimSun" w:hAnsi="Times New Roman"/>
                <w:sz w:val="21"/>
              </w:rPr>
              <w:t xml:space="preserve">154</w:t>
            </w:r>
          </w:p>
        </w:tc>
        <w:tc>
          <w:tcPr>
            <w:tcW w:w="700" w:type="dxa"/>
            <w:vAlign w:val="center"/>
          </w:tcPr>
          <w:p>
            <w:pPr>
              <w:spacing w:before="20" w:after="20" w:line="240" w:lineRule="auto"/>
              <w:jc w:val="center"/>
            </w:pPr>
            <w:r>
              <w:rPr>
                <w:rFonts w:ascii="Times New Roman" w:eastAsia="SimSun" w:hAnsi="Times New Roman"/>
                <w:sz w:val="21"/>
              </w:rPr>
              <w:t xml:space="preserve">100</w:t>
            </w:r>
          </w:p>
        </w:tc>
        <w:tc>
          <w:tcPr>
            <w:tcW w:w="1400" w:type="dxa"/>
            <w:vAlign w:val="center"/>
          </w:tcPr>
          <w:p>
            <w:pPr>
              <w:spacing w:before="20" w:after="20" w:line="240" w:lineRule="auto"/>
              <w:jc w:val="center"/>
            </w:pPr>
            <w:r>
              <w:rPr>
                <w:rFonts w:ascii="Times New Roman" w:eastAsia="SimSun" w:hAnsi="Times New Roman"/>
                <w:sz w:val="21"/>
              </w:rPr>
              <w:t xml:space="preserve">0.875±0.010</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软投票</w:t>
            </w:r>
          </w:p>
        </w:tc>
        <w:tc>
          <w:tcPr>
            <w:tcW w:w="800" w:type="dxa"/>
            <w:vAlign w:val="center"/>
          </w:tcPr>
          <w:p>
            <w:pPr>
              <w:spacing w:before="20" w:after="20" w:line="240" w:lineRule="auto"/>
              <w:jc w:val="center"/>
            </w:pPr>
            <w:r>
              <w:rPr>
                <w:rFonts w:ascii="Times New Roman" w:eastAsia="SimSun" w:hAnsi="Times New Roman"/>
                <w:sz w:val="21"/>
              </w:rPr>
              <w:t xml:space="preserve">0.845</w:t>
            </w:r>
          </w:p>
        </w:tc>
        <w:tc>
          <w:tcPr>
            <w:tcW w:w="760" w:type="dxa"/>
            <w:vAlign w:val="center"/>
          </w:tcPr>
          <w:p>
            <w:pPr>
              <w:spacing w:before="20" w:after="20" w:line="240" w:lineRule="auto"/>
              <w:jc w:val="center"/>
            </w:pPr>
            <w:r>
              <w:rPr>
                <w:rFonts w:ascii="Times New Roman" w:eastAsia="SimSun" w:hAnsi="Times New Roman"/>
                <w:sz w:val="21"/>
              </w:rPr>
              <w:t xml:space="preserve">0.827</w:t>
            </w:r>
          </w:p>
        </w:tc>
        <w:tc>
          <w:tcPr>
            <w:tcW w:w="880" w:type="dxa"/>
            <w:vAlign w:val="center"/>
          </w:tcPr>
          <w:p>
            <w:pPr>
              <w:spacing w:before="20" w:after="20" w:line="240" w:lineRule="auto"/>
              <w:jc w:val="center"/>
            </w:pPr>
            <w:r>
              <w:rPr>
                <w:rFonts w:ascii="Times New Roman" w:eastAsia="SimSun" w:hAnsi="Times New Roman"/>
                <w:sz w:val="21"/>
              </w:rPr>
              <w:t xml:space="preserve">0.847</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57</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1400" w:type="dxa"/>
            <w:vAlign w:val="center"/>
          </w:tcPr>
          <w:p>
            <w:pPr>
              <w:spacing w:before="20" w:after="20" w:line="240" w:lineRule="auto"/>
              <w:jc w:val="center"/>
            </w:pPr>
            <w:r>
              <w:rPr>
                <w:rFonts w:ascii="Times New Roman" w:eastAsia="SimSun" w:hAnsi="Times New Roman"/>
                <w:sz w:val="21"/>
              </w:rPr>
              <w:t xml:space="preserve">0.848±0.002</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堆叠RF</w:t>
            </w:r>
          </w:p>
        </w:tc>
        <w:tc>
          <w:tcPr>
            <w:tcW w:w="800" w:type="dxa"/>
            <w:vAlign w:val="center"/>
          </w:tcPr>
          <w:p>
            <w:pPr>
              <w:spacing w:before="20" w:after="20" w:line="240" w:lineRule="auto"/>
              <w:jc w:val="center"/>
            </w:pPr>
            <w:r>
              <w:rPr>
                <w:rFonts w:ascii="Times New Roman" w:eastAsia="SimSun" w:hAnsi="Times New Roman"/>
                <w:sz w:val="21"/>
              </w:rPr>
              <w:t xml:space="preserve">0.994</w:t>
            </w:r>
          </w:p>
        </w:tc>
        <w:tc>
          <w:tcPr>
            <w:tcW w:w="760" w:type="dxa"/>
            <w:vAlign w:val="center"/>
          </w:tcPr>
          <w:p>
            <w:pPr>
              <w:spacing w:before="20" w:after="20" w:line="240" w:lineRule="auto"/>
              <w:jc w:val="center"/>
            </w:pPr>
            <w:r>
              <w:rPr>
                <w:rFonts w:ascii="Times New Roman" w:eastAsia="SimSun" w:hAnsi="Times New Roman"/>
                <w:sz w:val="21"/>
              </w:rPr>
              <w:t xml:space="preserve">0.993</w:t>
            </w:r>
          </w:p>
        </w:tc>
        <w:tc>
          <w:tcPr>
            <w:tcW w:w="880" w:type="dxa"/>
            <w:vAlign w:val="center"/>
          </w:tcPr>
          <w:p>
            <w:pPr>
              <w:spacing w:before="20" w:after="20" w:line="240" w:lineRule="auto"/>
              <w:jc w:val="center"/>
            </w:pPr>
            <w:r>
              <w:rPr>
                <w:rFonts w:ascii="Times New Roman" w:eastAsia="SimSun" w:hAnsi="Times New Roman"/>
                <w:sz w:val="21"/>
              </w:rPr>
              <w:t xml:space="preserve">0.994</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50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1400" w:type="dxa"/>
            <w:vAlign w:val="center"/>
          </w:tcPr>
          <w:p>
            <w:pPr>
              <w:spacing w:before="20" w:after="20" w:line="240" w:lineRule="auto"/>
              <w:jc w:val="center"/>
            </w:pPr>
            <w:r>
              <w:rPr>
                <w:rFonts w:ascii="Times New Roman" w:eastAsia="SimSun" w:hAnsi="Times New Roman"/>
                <w:sz w:val="21"/>
              </w:rPr>
              <w:t xml:space="preserve">0.995±0.001</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GBDT+下限</w:t>
            </w:r>
          </w:p>
        </w:tc>
        <w:tc>
          <w:tcPr>
            <w:tcW w:w="800" w:type="dxa"/>
            <w:vAlign w:val="center"/>
          </w:tcPr>
          <w:p>
            <w:pPr>
              <w:spacing w:before="20" w:after="20" w:line="240" w:lineRule="auto"/>
              <w:jc w:val="center"/>
            </w:pPr>
            <w:r>
              <w:rPr>
                <w:rFonts w:ascii="Times New Roman" w:eastAsia="SimSun" w:hAnsi="Times New Roman"/>
                <w:sz w:val="21"/>
              </w:rPr>
              <w:t xml:space="preserve">0.934</w:t>
            </w:r>
          </w:p>
        </w:tc>
        <w:tc>
          <w:tcPr>
            <w:tcW w:w="760" w:type="dxa"/>
            <w:vAlign w:val="center"/>
          </w:tcPr>
          <w:p>
            <w:pPr>
              <w:spacing w:before="20" w:after="20" w:line="240" w:lineRule="auto"/>
              <w:jc w:val="center"/>
            </w:pPr>
            <w:r>
              <w:rPr>
                <w:rFonts w:ascii="Times New Roman" w:eastAsia="SimSun" w:hAnsi="Times New Roman"/>
                <w:sz w:val="21"/>
              </w:rPr>
              <w:t xml:space="preserve">0.922</w:t>
            </w:r>
          </w:p>
        </w:tc>
        <w:tc>
          <w:tcPr>
            <w:tcW w:w="880" w:type="dxa"/>
            <w:vAlign w:val="center"/>
          </w:tcPr>
          <w:p>
            <w:pPr>
              <w:spacing w:before="20" w:after="20" w:line="240" w:lineRule="auto"/>
              <w:jc w:val="center"/>
            </w:pPr>
            <w:r>
              <w:rPr>
                <w:rFonts w:ascii="Times New Roman" w:eastAsia="SimSun" w:hAnsi="Times New Roman"/>
                <w:sz w:val="21"/>
              </w:rPr>
              <w:t xml:space="preserve">0.942</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1</w:t>
            </w:r>
          </w:p>
        </w:tc>
        <w:tc>
          <w:tcPr>
            <w:tcW w:w="1400" w:type="dxa"/>
            <w:vAlign w:val="center"/>
          </w:tcPr>
          <w:p>
            <w:pPr>
              <w:spacing w:before="20" w:after="20" w:line="240" w:lineRule="auto"/>
              <w:jc w:val="center"/>
            </w:pPr>
            <w:r>
              <w:rPr>
                <w:rFonts w:ascii="Times New Roman" w:eastAsia="SimSun" w:hAnsi="Times New Roman"/>
                <w:sz w:val="21"/>
              </w:rPr>
              <w:t xml:space="preserve">0.935±0.003</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RF+序数物理下限</w:t>
            </w:r>
          </w:p>
        </w:tc>
        <w:tc>
          <w:tcPr>
            <w:tcW w:w="800" w:type="dxa"/>
            <w:vAlign w:val="center"/>
          </w:tcPr>
          <w:p>
            <w:pPr>
              <w:spacing w:before="20" w:after="20" w:line="240" w:lineRule="auto"/>
              <w:jc w:val="center"/>
            </w:pPr>
            <w:r>
              <w:rPr>
                <w:rFonts w:ascii="Times New Roman" w:eastAsia="SimSun" w:hAnsi="Times New Roman"/>
                <w:sz w:val="21"/>
              </w:rPr>
              <w:t xml:space="preserve">0.926</w:t>
            </w:r>
          </w:p>
        </w:tc>
        <w:tc>
          <w:tcPr>
            <w:tcW w:w="760" w:type="dxa"/>
            <w:vAlign w:val="center"/>
          </w:tcPr>
          <w:p>
            <w:pPr>
              <w:spacing w:before="20" w:after="20" w:line="240" w:lineRule="auto"/>
              <w:jc w:val="center"/>
            </w:pPr>
            <w:r>
              <w:rPr>
                <w:rFonts w:ascii="Times New Roman" w:eastAsia="SimSun" w:hAnsi="Times New Roman"/>
                <w:sz w:val="21"/>
              </w:rPr>
              <w:t xml:space="preserve">0.912</w:t>
            </w:r>
          </w:p>
        </w:tc>
        <w:tc>
          <w:tcPr>
            <w:tcW w:w="880" w:type="dxa"/>
            <w:vAlign w:val="center"/>
          </w:tcPr>
          <w:p>
            <w:pPr>
              <w:spacing w:before="20" w:after="20" w:line="240" w:lineRule="auto"/>
              <w:jc w:val="center"/>
            </w:pPr>
            <w:r>
              <w:rPr>
                <w:rFonts w:ascii="Times New Roman" w:eastAsia="SimSun" w:hAnsi="Times New Roman"/>
                <w:sz w:val="21"/>
              </w:rPr>
              <w:t xml:space="preserve">0.928</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1400" w:type="dxa"/>
            <w:vAlign w:val="center"/>
          </w:tcPr>
          <w:p>
            <w:pPr>
              <w:spacing w:before="20" w:after="20" w:line="240" w:lineRule="auto"/>
              <w:jc w:val="center"/>
            </w:pPr>
            <w:r>
              <w:rPr>
                <w:rFonts w:ascii="Times New Roman" w:eastAsia="SimSun" w:hAnsi="Times New Roman"/>
                <w:sz w:val="21"/>
              </w:rPr>
              <w:t xml:space="preserve">0.921±0.004</w:t>
            </w:r>
          </w:p>
        </w:tc>
      </w:tr>
      <w:tr>
        <w:trPr>
          <w:cantSplit/>
          <w:jc w:val="center"/>
        </w:trPr>
        <w:tc>
          <w:tcPr>
            <w:tcW w:w="2826" w:type="dxa"/>
            <w:vAlign w:val="center"/>
          </w:tcPr>
          <w:p>
            <w:pPr>
              <w:spacing w:before="20" w:after="20" w:line="240" w:lineRule="auto"/>
              <w:jc w:val="left"/>
            </w:pPr>
            <w:r>
              <w:rPr>
                <w:rFonts w:ascii="Times New Roman" w:eastAsia="SimSun" w:hAnsi="Times New Roman"/>
                <w:sz w:val="21"/>
              </w:rPr>
              <w:t xml:space="preserve">堆叠RF+下限</w:t>
            </w:r>
          </w:p>
        </w:tc>
        <w:tc>
          <w:tcPr>
            <w:tcW w:w="800" w:type="dxa"/>
            <w:vAlign w:val="center"/>
          </w:tcPr>
          <w:p>
            <w:pPr>
              <w:spacing w:before="20" w:after="20" w:line="240" w:lineRule="auto"/>
              <w:jc w:val="center"/>
            </w:pPr>
            <w:r>
              <w:rPr>
                <w:rFonts w:ascii="Times New Roman" w:eastAsia="SimSun" w:hAnsi="Times New Roman"/>
                <w:sz w:val="21"/>
              </w:rPr>
              <w:t xml:space="preserve">0.937</w:t>
            </w:r>
          </w:p>
        </w:tc>
        <w:tc>
          <w:tcPr>
            <w:tcW w:w="760" w:type="dxa"/>
            <w:vAlign w:val="center"/>
          </w:tcPr>
          <w:p>
            <w:pPr>
              <w:spacing w:before="20" w:after="20" w:line="240" w:lineRule="auto"/>
              <w:jc w:val="center"/>
            </w:pPr>
            <w:r>
              <w:rPr>
                <w:rFonts w:ascii="Times New Roman" w:eastAsia="SimSun" w:hAnsi="Times New Roman"/>
                <w:sz w:val="21"/>
              </w:rPr>
              <w:t xml:space="preserve">0.926</w:t>
            </w:r>
          </w:p>
        </w:tc>
        <w:tc>
          <w:tcPr>
            <w:tcW w:w="880" w:type="dxa"/>
            <w:vAlign w:val="center"/>
          </w:tcPr>
          <w:p>
            <w:pPr>
              <w:spacing w:before="20" w:after="20" w:line="240" w:lineRule="auto"/>
              <w:jc w:val="center"/>
            </w:pPr>
            <w:r>
              <w:rPr>
                <w:rFonts w:ascii="Times New Roman" w:eastAsia="SimSun" w:hAnsi="Times New Roman"/>
                <w:sz w:val="21"/>
              </w:rPr>
              <w:t xml:space="preserve">0.947</w:t>
            </w:r>
          </w:p>
        </w:tc>
        <w:tc>
          <w:tcPr>
            <w:tcW w:w="64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700" w:type="dxa"/>
            <w:vAlign w:val="center"/>
          </w:tcPr>
          <w:p>
            <w:pPr>
              <w:spacing w:before="20" w:after="20" w:line="240" w:lineRule="auto"/>
              <w:jc w:val="center"/>
            </w:pPr>
            <w:r>
              <w:rPr>
                <w:rFonts w:ascii="Times New Roman" w:eastAsia="SimSun" w:hAnsi="Times New Roman"/>
                <w:sz w:val="21"/>
              </w:rPr>
              <w:t xml:space="preserve">0</w:t>
            </w:r>
          </w:p>
        </w:tc>
        <w:tc>
          <w:tcPr>
            <w:tcW w:w="1400" w:type="dxa"/>
            <w:vAlign w:val="center"/>
          </w:tcPr>
          <w:p>
            <w:pPr>
              <w:spacing w:before="20" w:after="20" w:line="240" w:lineRule="auto"/>
              <w:jc w:val="center"/>
            </w:pPr>
            <w:r>
              <w:rPr>
                <w:rFonts w:ascii="Times New Roman" w:eastAsia="SimSun" w:hAnsi="Times New Roman"/>
                <w:sz w:val="21"/>
              </w:rPr>
              <w:t xml:space="preserve">0.937±0.001</w:t>
            </w:r>
          </w:p>
        </w:tc>
      </w:tr>
    </w:tbl>
    <w:p>
      <w:pPr>
        <w:spacing w:before="60" w:after="120" w:line="300" w:lineRule="auto"/>
        <w:jc w:val="both"/>
      </w:pPr>
      <w:r>
        <w:rPr>
          <w:rFonts w:ascii="Times New Roman" w:eastAsia="SimSun" w:hAnsi="Times New Roman"/>
          <w:sz w:val="21"/>
        </w:rPr>
        <w:t xml:space="preserve">注：“低于规则”为调低规则链等级的决策数，“新增错误”为规则链判对而该方法判错的记录数；末列为5个附加批次均值±标准差，其余为原始批次。</w:t>
      </w:r>
    </w:p>
    <w:p>
      <w:pPr>
        <w:spacing w:after="0" w:line="360" w:lineRule="auto"/>
        <w:ind w:firstLine="480"/>
        <w:jc w:val="both"/>
      </w:pPr>
      <w:r>
        <w:rPr>
          <w:rFonts w:ascii="Times New Roman" w:eastAsia="SimSun" w:hAnsi="Times New Roman"/>
          <w:sz w:val="24"/>
        </w:rPr>
        <w:t xml:space="preserve">特征盲区不是随机森林特有的：全部仅学习器基线都至少产生50个C→A，最强的GBDT（准确率0.906）也不例外；RF与GBDT对穿堤建筑物记录给出的 </w:t>
      </w:r>
      <w:r>
        <w:rPr>
          <w:rFonts w:ascii="Times New Roman" w:eastAsia="SimSun" w:hAnsi="Times New Roman"/>
          <w:i/>
          <w:sz w:val="24"/>
        </w:rPr>
        <w:t xml:space="preserve">p</w:t>
      </w:r>
      <w:r>
        <w:rPr>
          <w:rFonts w:ascii="Times New Roman" w:eastAsia="SimSun" w:hAnsi="Times New Roman"/>
          <w:i/>
          <w:sz w:val="24"/>
          <w:vertAlign w:val="subscript"/>
        </w:rPr>
        <w:t xml:space="preserve">C</w:t>
      </w:r>
      <w:r>
        <w:rPr>
          <w:rFonts w:ascii="Times New Roman" w:eastAsia="SimSun" w:hAnsi="Times New Roman"/>
          <w:sz w:val="24"/>
        </w:rPr>
        <w:t xml:space="preserve"> 分别为0和不超过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vertAlign w:val="superscript"/>
        </w:rPr>
        <w:t xml:space="preserve">−</w:t>
      </w:r>
      <w:r>
        <w:rPr>
          <w:rFonts w:ascii="Times New Roman" w:eastAsia="SimSun" w:hAnsi="Times New Roman"/>
          <w:sz w:val="24"/>
          <w:vertAlign w:val="superscript"/>
        </w:rPr>
        <w:t xml:space="preserve">6</w:t>
      </w:r>
      <w:r>
        <w:rPr>
          <w:rFonts w:ascii="Times New Roman" w:eastAsia="SimSun" w:hAnsi="Times New Roman"/>
          <w:sz w:val="24"/>
        </w:rPr>
        <w:t xml:space="preserve">，任何阈值或期望代价规则都无法挽回。软投票复现了规则链，置信度切换保留了全部C→A。堆叠RF准确率达0.994，但这是通过下调规则链在渗流与复合情景轻微档升级为B的50个A级记录实现的，这些下调在真实堤防上是否安全尚无数据检验。序数下限对每个学习器都消除了C→A，并按命题5.1继承各自的高估：相对规则链新增错误为逻辑回归47、SVM 28、GBDT 1，RF与堆叠RF在全部批次均为0。</w:t>
      </w:r>
    </w:p>
    <w:p>
      <w:pPr>
        <w:keepNext/>
        <w:spacing w:before="120" w:after="60"/>
        <w:jc w:val="center"/>
      </w:pPr>
      <w:r>
        <w:rPr>
          <w:noProof/>
          <w:lang w:eastAsia="zh-CN"/>
        </w:rPr>
        <w:drawing>
          <wp:inline distT="0" distB="0" distL="0" distR="0">
            <wp:extent cx="5760720" cy="2830147"/>
            <wp:effectExtent l="0" t="0" r="0" b="0"/>
            <wp:docPr id="6" name="图片 6" descr="图5.6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5_6_policy_evaluation.png"/>
                    <pic:cNvPicPr/>
                  </pic:nvPicPr>
                  <pic:blipFill>
                    <a:blip r:embed="rId105"/>
                    <a:stretch>
                      <a:fillRect/>
                    </a:stretch>
                  </pic:blipFill>
                  <pic:spPr>
                    <a:xfrm>
                      <a:off x="0" y="0"/>
                      <a:ext cx="5760720" cy="2830147"/>
                    </a:xfrm>
                    <a:prstGeom prst="rect">
                      <a:avLst/>
                    </a:prstGeom>
                  </pic:spPr>
                </pic:pic>
              </a:graphicData>
            </a:graphic>
          </wp:inline>
        </w:drawing>
      </w:r>
    </w:p>
    <w:p>
      <w:pPr>
        <w:spacing w:after="120"/>
        <w:jc w:val="center"/>
      </w:pPr>
      <w:r>
        <w:rPr>
          <w:rFonts w:ascii="Times New Roman" w:eastAsia="SimSun" w:hAnsi="Times New Roman"/>
          <w:sz w:val="21"/>
        </w:rPr>
        <w:t xml:space="preserve">图5.6  4051个候选策略的多目标评价结果</w:t>
      </w:r>
    </w:p>
    <w:p>
      <w:pPr>
        <w:spacing w:after="0" w:line="360" w:lineRule="auto"/>
        <w:ind w:firstLine="480"/>
        <w:jc w:val="both"/>
      </w:pPr>
      <w:r>
        <w:rPr>
          <w:rFonts w:ascii="Times New Roman" w:eastAsia="SimSun" w:hAnsi="Times New Roman"/>
          <w:sz w:val="24"/>
        </w:rPr>
        <w:t xml:space="preserve">每批4051个策略中，1402—1527个满足基准约束，795—825个同时满足物理下限约束（图5.6）。无下限的仅学习器策略族在任何批次都没有可行策略，也不支配规则链，超体积为0.42—0.59，规则链为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；加入序数下限后各策略族升至0.73—0.88，其中RF由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3</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8</w:t>
      </w:r>
      <w:r>
        <w:rPr>
          <w:rFonts w:ascii="Times New Roman" w:eastAsia="SimSun" w:hAnsi="Times New Roman"/>
          <w:sz w:val="24"/>
        </w:rPr>
        <w:t xml:space="preserve"> 升至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3</w:t>
      </w:r>
      <w:r>
        <w:rPr>
          <w:rFonts w:ascii="Times New Roman" w:eastAsia="SimSun" w:hAnsi="Times New Roman"/>
          <w:sz w:val="24"/>
        </w:rPr>
        <w:t xml:space="preserve">6</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。选择结果见表5.7，词典序与到理想点距离两种规则在6个批次给出相同的策略族。</w:t>
      </w:r>
    </w:p>
    <w:p>
      <w:pPr>
        <w:keepNext/>
        <w:spacing w:before="120" w:after="60" w:line="240" w:lineRule="auto"/>
        <w:jc w:val="center"/>
      </w:pPr>
      <w:r>
        <w:rPr>
          <w:rFonts w:ascii="Times New Roman" w:eastAsia="SimSun" w:hAnsi="Times New Roman"/>
          <w:sz w:val="21"/>
        </w:rPr>
        <w:t xml:space="preserve">表5.7  评价体系选出的策略及迁移结果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906"/>
        <w:gridCol w:w="2500"/>
        <w:gridCol w:w="2500"/>
        <w:gridCol w:w="2500"/>
      </w:tblGrid>
      <w:tr>
        <w:trPr>
          <w:tblHeader/>
          <w:cantSplit/>
          <w:jc w:val="center"/>
        </w:trPr>
        <w:tc>
          <w:tcPr>
            <w:tcW w:w="19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项目</w:t>
            </w:r>
          </w:p>
        </w:tc>
        <w:tc>
          <w:tcPr>
            <w:tcW w:w="2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仅基准约束</w:t>
            </w:r>
          </w:p>
        </w:tc>
        <w:tc>
          <w:tcPr>
            <w:tcW w:w="2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加物理下限约束</w:t>
            </w:r>
          </w:p>
        </w:tc>
        <w:tc>
          <w:tcPr>
            <w:tcW w:w="2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声明的参考策略</w:t>
            </w:r>
          </w:p>
        </w:tc>
      </w:tr>
      <w:tr>
        <w:trPr>
          <w:cantSplit/>
          <w:jc w:val="center"/>
        </w:trPr>
        <w:tc>
          <w:tcPr>
            <w:tcW w:w="1906" w:type="dxa"/>
            <w:vAlign w:val="center"/>
          </w:tcPr>
          <w:p>
            <w:pPr>
              <w:spacing w:before="20" w:after="20" w:line="240" w:lineRule="auto"/>
              <w:jc w:val="left"/>
            </w:pPr>
            <w:r>
              <w:rPr>
                <w:rFonts w:ascii="Times New Roman" w:eastAsia="SimSun" w:hAnsi="Times New Roman"/>
                <w:sz w:val="21"/>
              </w:rPr>
              <w:t xml:space="preserve">策略族与下限范围</w:t>
            </w:r>
          </w:p>
        </w:tc>
        <w:tc>
          <w:tcPr>
            <w:tcW w:w="2500" w:type="dxa"/>
            <w:vAlign w:val="center"/>
          </w:tcPr>
          <w:p>
            <w:pPr>
              <w:spacing w:before="20" w:after="20" w:line="240" w:lineRule="auto"/>
              <w:jc w:val="center"/>
            </w:pPr>
            <w:r>
              <w:rPr>
                <w:rFonts w:ascii="Times New Roman" w:eastAsia="SimSun" w:hAnsi="Times New Roman"/>
                <w:sz w:val="21"/>
              </w:rPr>
              <w:t xml:space="preserve">堆叠RF，无下限</w:t>
            </w:r>
          </w:p>
        </w:tc>
        <w:tc>
          <w:tcPr>
            <w:tcW w:w="2500" w:type="dxa"/>
            <w:vAlign w:val="center"/>
          </w:tcPr>
          <w:p>
            <w:pPr>
              <w:spacing w:before="20" w:after="20" w:line="240" w:lineRule="auto"/>
              <w:jc w:val="center"/>
            </w:pPr>
            <w:r>
              <w:rPr>
                <w:rFonts w:ascii="Times New Roman" w:eastAsia="SimSun" w:hAnsi="Times New Roman"/>
                <w:sz w:val="21"/>
              </w:rPr>
              <w:t xml:space="preserve">堆叠RF，序数下限</w:t>
            </w:r>
          </w:p>
        </w:tc>
        <w:tc>
          <w:tcPr>
            <w:tcW w:w="2500" w:type="dxa"/>
            <w:vAlign w:val="center"/>
          </w:tcPr>
          <w:p>
            <w:pPr>
              <w:spacing w:before="20" w:after="20" w:line="240" w:lineRule="auto"/>
              <w:jc w:val="center"/>
            </w:pPr>
            <w:r>
              <w:rPr>
                <w:rFonts w:ascii="Times New Roman" w:eastAsia="SimSun" w:hAnsi="Times New Roman"/>
                <w:sz w:val="21"/>
              </w:rPr>
              <w:t xml:space="preserve">RF，序数下限</w:t>
            </w:r>
          </w:p>
        </w:tc>
      </w:tr>
      <w:tr>
        <w:trPr>
          <w:cantSplit/>
          <w:jc w:val="center"/>
        </w:trPr>
        <w:tc>
          <w:tcPr>
            <w:tcW w:w="1906" w:type="dxa"/>
            <w:vAlign w:val="center"/>
          </w:tcPr>
          <w:p>
            <w:pPr>
              <w:spacing w:before="20" w:after="20" w:line="240" w:lineRule="auto"/>
              <w:jc w:val="left"/>
            </w:pPr>
            <w:r>
              <w:rPr>
                <w:rFonts w:ascii="Times New Roman" w:eastAsia="SimSun" w:hAnsi="Times New Roman"/>
                <w:sz w:val="21"/>
              </w:rPr>
              <w:t xml:space="preserve">阈值 </w:t>
            </w:r>
            <w:r>
              <w:rPr>
                <w:rFonts w:ascii="Times New Roman" w:eastAsia="SimSun" w:hAnsi="Times New Roman"/>
                <w:sz w:val="21"/>
              </w:rPr>
              <w:t xml:space="preserve">(</w:t>
            </w:r>
            <w:r>
              <w:rPr>
                <w:rFonts w:ascii="Times New Roman" w:eastAsia="SimSun" w:hAnsi="Times New Roman"/>
                <w:i/>
                <w:sz w:val="21"/>
              </w:rPr>
              <w:t xml:space="preserve">τ</w:t>
            </w:r>
            <w:r>
              <w:rPr>
                <w:rFonts w:ascii="Times New Roman" w:eastAsia="SimSun" w:hAnsi="Times New Roman"/>
                <w:i/>
                <w:sz w:val="21"/>
                <w:vertAlign w:val="subscript"/>
              </w:rPr>
              <w:t xml:space="preserve">C</w:t>
            </w:r>
            <w:r>
              <w:rPr>
                <w:rFonts w:ascii="Times New Roman" w:eastAsia="SimSun" w:hAnsi="Times New Roman"/>
                <w:sz w:val="21"/>
              </w:rPr>
              <w:t xml:space="preserve">, </w:t>
            </w:r>
            <w:r>
              <w:rPr>
                <w:rFonts w:ascii="Times New Roman" w:eastAsia="SimSun" w:hAnsi="Times New Roman"/>
                <w:i/>
                <w:sz w:val="21"/>
              </w:rPr>
              <w:t xml:space="preserve">τ</w:t>
            </w:r>
            <w:r>
              <w:rPr>
                <w:rFonts w:ascii="Times New Roman" w:eastAsia="SimSun" w:hAnsi="Times New Roman"/>
                <w:i/>
                <w:sz w:val="21"/>
                <w:vertAlign w:val="subscript"/>
              </w:rPr>
              <w:t xml:space="preserve">B</w:t>
            </w:r>
            <w:r>
              <w:rPr>
                <w:rFonts w:ascii="Times New Roman" w:eastAsia="SimSun" w:hAnsi="Times New Roman"/>
                <w:sz w:val="21"/>
              </w:rPr>
              <w:t xml:space="preserve">)</w:t>
            </w:r>
          </w:p>
        </w:tc>
        <w:tc>
          <w:tcPr>
            <w:tcW w:w="2500" w:type="dxa"/>
            <w:vAlign w:val="center"/>
          </w:tcPr>
          <w:p>
            <w:pPr>
              <w:spacing w:before="20" w:after="20" w:line="240" w:lineRule="auto"/>
              <w:jc w:val="center"/>
            </w:pPr>
            <w:r>
              <w:rPr>
                <w:rFonts w:ascii="Times New Roman" w:eastAsia="SimSun" w:hAnsi="Times New Roman"/>
                <w:sz w:val="21"/>
              </w:rPr>
              <w:t xml:space="preserve">0.50—0.55，0.35—0.50</w:t>
            </w:r>
          </w:p>
        </w:tc>
        <w:tc>
          <w:tcPr>
            <w:tcW w:w="2500" w:type="dxa"/>
            <w:vAlign w:val="center"/>
          </w:tcPr>
          <w:p>
            <w:pPr>
              <w:spacing w:before="20" w:after="20" w:line="240" w:lineRule="auto"/>
              <w:jc w:val="center"/>
            </w:pPr>
            <w:r>
              <w:rPr>
                <w:rFonts w:ascii="Times New Roman" w:eastAsia="SimSun" w:hAnsi="Times New Roman"/>
                <w:sz w:val="21"/>
              </w:rPr>
              <w:t xml:space="preserve">0.50—0.55，0.35—0.50</w:t>
            </w:r>
          </w:p>
        </w:tc>
        <w:tc>
          <w:tcPr>
            <w:tcW w:w="2500" w:type="dxa"/>
            <w:vAlign w:val="center"/>
          </w:tcPr>
          <w:p>
            <w:pPr>
              <w:spacing w:before="20" w:after="20" w:line="240" w:lineRule="auto"/>
              <w:jc w:val="center"/>
            </w:pPr>
            <w:r>
              <w:rPr>
                <w:rFonts w:ascii="Times New Roman" w:eastAsia="SimSun" w:hAnsi="Times New Roman"/>
                <w:sz w:val="21"/>
              </w:rPr>
              <w:t xml:space="preserve">(0.35, 0.20)</w:t>
            </w:r>
          </w:p>
        </w:tc>
      </w:tr>
      <w:tr>
        <w:trPr>
          <w:cantSplit/>
          <w:jc w:val="center"/>
        </w:trPr>
        <w:tc>
          <w:tcPr>
            <w:tcW w:w="1906" w:type="dxa"/>
            <w:vAlign w:val="center"/>
          </w:tcPr>
          <w:p>
            <w:pPr>
              <w:spacing w:before="20" w:after="20" w:line="240" w:lineRule="auto"/>
              <w:jc w:val="left"/>
            </w:pPr>
            <w:r>
              <w:rPr>
                <w:rFonts w:ascii="Times New Roman" w:eastAsia="SimSun" w:hAnsi="Times New Roman"/>
                <w:sz w:val="21"/>
              </w:rPr>
              <w:t xml:space="preserve">迁移准确率</w:t>
            </w:r>
          </w:p>
        </w:tc>
        <w:tc>
          <w:tcPr>
            <w:tcW w:w="2500" w:type="dxa"/>
            <w:vAlign w:val="center"/>
          </w:tcPr>
          <w:p>
            <w:pPr>
              <w:spacing w:before="20" w:after="20" w:line="240" w:lineRule="auto"/>
              <w:jc w:val="center"/>
            </w:pPr>
            <w:r>
              <w:rPr>
                <w:rFonts w:ascii="Times New Roman" w:eastAsia="SimSun" w:hAnsi="Times New Roman"/>
                <w:sz w:val="21"/>
              </w:rPr>
              <w:t xml:space="preserve">0.996±0.001</w:t>
            </w:r>
          </w:p>
        </w:tc>
        <w:tc>
          <w:tcPr>
            <w:tcW w:w="2500" w:type="dxa"/>
            <w:vAlign w:val="center"/>
          </w:tcPr>
          <w:p>
            <w:pPr>
              <w:spacing w:before="20" w:after="20" w:line="240" w:lineRule="auto"/>
              <w:jc w:val="center"/>
            </w:pPr>
            <w:r>
              <w:rPr>
                <w:rFonts w:ascii="Times New Roman" w:eastAsia="SimSun" w:hAnsi="Times New Roman"/>
                <w:sz w:val="21"/>
              </w:rPr>
              <w:t xml:space="preserve">0.939±0.001</w:t>
            </w:r>
          </w:p>
        </w:tc>
        <w:tc>
          <w:tcPr>
            <w:tcW w:w="2500" w:type="dxa"/>
            <w:vAlign w:val="center"/>
          </w:tcPr>
          <w:p>
            <w:pPr>
              <w:spacing w:before="20" w:after="20" w:line="240" w:lineRule="auto"/>
              <w:jc w:val="center"/>
            </w:pPr>
            <w:r>
              <w:rPr>
                <w:rFonts w:ascii="Times New Roman" w:eastAsia="SimSun" w:hAnsi="Times New Roman"/>
                <w:sz w:val="21"/>
              </w:rPr>
              <w:t xml:space="preserve">0.921±0.004</w:t>
            </w:r>
          </w:p>
        </w:tc>
      </w:tr>
      <w:tr>
        <w:trPr>
          <w:cantSplit/>
          <w:jc w:val="center"/>
        </w:trPr>
        <w:tc>
          <w:tcPr>
            <w:tcW w:w="1906" w:type="dxa"/>
            <w:vAlign w:val="center"/>
          </w:tcPr>
          <w:p>
            <w:pPr>
              <w:spacing w:before="20" w:after="20" w:line="240" w:lineRule="auto"/>
              <w:jc w:val="left"/>
            </w:pPr>
            <w:r>
              <w:rPr>
                <w:rFonts w:ascii="Times New Roman" w:eastAsia="SimSun" w:hAnsi="Times New Roman"/>
                <w:sz w:val="21"/>
              </w:rPr>
              <w:t xml:space="preserve">迁移平衡准确率</w:t>
            </w:r>
          </w:p>
        </w:tc>
        <w:tc>
          <w:tcPr>
            <w:tcW w:w="2500" w:type="dxa"/>
            <w:vAlign w:val="center"/>
          </w:tcPr>
          <w:p>
            <w:pPr>
              <w:spacing w:before="20" w:after="20" w:line="240" w:lineRule="auto"/>
              <w:jc w:val="center"/>
            </w:pPr>
            <w:r>
              <w:rPr>
                <w:rFonts w:ascii="Times New Roman" w:eastAsia="SimSun" w:hAnsi="Times New Roman"/>
                <w:sz w:val="21"/>
              </w:rPr>
              <w:t xml:space="preserve">0.996±0.002</w:t>
            </w:r>
          </w:p>
        </w:tc>
        <w:tc>
          <w:tcPr>
            <w:tcW w:w="2500" w:type="dxa"/>
            <w:vAlign w:val="center"/>
          </w:tcPr>
          <w:p>
            <w:pPr>
              <w:spacing w:before="20" w:after="20" w:line="240" w:lineRule="auto"/>
              <w:jc w:val="center"/>
            </w:pPr>
            <w:r>
              <w:rPr>
                <w:rFonts w:ascii="Times New Roman" w:eastAsia="SimSun" w:hAnsi="Times New Roman"/>
                <w:sz w:val="21"/>
              </w:rPr>
              <w:t xml:space="preserve">0.948±0.002</w:t>
            </w:r>
          </w:p>
        </w:tc>
        <w:tc>
          <w:tcPr>
            <w:tcW w:w="2500" w:type="dxa"/>
            <w:vAlign w:val="center"/>
          </w:tcPr>
          <w:p>
            <w:pPr>
              <w:spacing w:before="20" w:after="20" w:line="240" w:lineRule="auto"/>
              <w:jc w:val="center"/>
            </w:pPr>
            <w:r>
              <w:rPr>
                <w:rFonts w:ascii="Times New Roman" w:eastAsia="SimSun" w:hAnsi="Times New Roman"/>
                <w:sz w:val="21"/>
              </w:rPr>
              <w:t xml:space="preserve">0.920±0.006</w:t>
            </w:r>
          </w:p>
        </w:tc>
      </w:tr>
      <w:tr>
        <w:trPr>
          <w:cantSplit/>
          <w:jc w:val="center"/>
        </w:trPr>
        <w:tc>
          <w:tcPr>
            <w:tcW w:w="1906" w:type="dxa"/>
            <w:vAlign w:val="center"/>
          </w:tcPr>
          <w:p>
            <w:pPr>
              <w:spacing w:before="20" w:after="20" w:line="240" w:lineRule="auto"/>
              <w:jc w:val="left"/>
            </w:pPr>
            <w:r>
              <w:rPr>
                <w:rFonts w:ascii="Times New Roman" w:eastAsia="SimSun" w:hAnsi="Times New Roman"/>
                <w:sz w:val="21"/>
              </w:rPr>
              <w:t xml:space="preserve">迁移C→A/安全损失</w:t>
            </w:r>
          </w:p>
        </w:tc>
        <w:tc>
          <w:tcPr>
            <w:tcW w:w="2500" w:type="dxa"/>
            <w:vAlign w:val="center"/>
          </w:tcPr>
          <w:p>
            <w:pPr>
              <w:spacing w:before="20" w:after="20" w:line="240" w:lineRule="auto"/>
              <w:jc w:val="center"/>
            </w:pPr>
            <w:r>
              <w:rPr>
                <w:rFonts w:ascii="Times New Roman" w:eastAsia="SimSun" w:hAnsi="Times New Roman"/>
                <w:sz w:val="21"/>
              </w:rPr>
              <w:t xml:space="preserve">0 / 0</w:t>
            </w:r>
          </w:p>
        </w:tc>
        <w:tc>
          <w:tcPr>
            <w:tcW w:w="2500" w:type="dxa"/>
            <w:vAlign w:val="center"/>
          </w:tcPr>
          <w:p>
            <w:pPr>
              <w:spacing w:before="20" w:after="20" w:line="240" w:lineRule="auto"/>
              <w:jc w:val="center"/>
            </w:pPr>
            <w:r>
              <w:rPr>
                <w:rFonts w:ascii="Times New Roman" w:eastAsia="SimSun" w:hAnsi="Times New Roman"/>
                <w:sz w:val="21"/>
              </w:rPr>
              <w:t xml:space="preserve">0 / 0</w:t>
            </w:r>
          </w:p>
        </w:tc>
        <w:tc>
          <w:tcPr>
            <w:tcW w:w="2500" w:type="dxa"/>
            <w:vAlign w:val="center"/>
          </w:tcPr>
          <w:p>
            <w:pPr>
              <w:spacing w:before="20" w:after="20" w:line="240" w:lineRule="auto"/>
              <w:jc w:val="center"/>
            </w:pPr>
            <w:r>
              <w:rPr>
                <w:rFonts w:ascii="Times New Roman" w:eastAsia="SimSun" w:hAnsi="Times New Roman"/>
                <w:sz w:val="21"/>
              </w:rPr>
              <w:t xml:space="preserve">0 / 0.6±1.3</w:t>
            </w:r>
          </w:p>
        </w:tc>
      </w:tr>
      <w:tr>
        <w:trPr>
          <w:cantSplit/>
          <w:jc w:val="center"/>
        </w:trPr>
        <w:tc>
          <w:tcPr>
            <w:tcW w:w="1906" w:type="dxa"/>
            <w:vAlign w:val="center"/>
          </w:tcPr>
          <w:p>
            <w:pPr>
              <w:spacing w:before="20" w:after="20" w:line="240" w:lineRule="auto"/>
              <w:jc w:val="left"/>
            </w:pPr>
            <w:r>
              <w:rPr>
                <w:rFonts w:ascii="Times New Roman" w:eastAsia="SimSun" w:hAnsi="Times New Roman"/>
                <w:sz w:val="21"/>
              </w:rPr>
              <w:t xml:space="preserve">迁移A类高估</w:t>
            </w:r>
          </w:p>
        </w:tc>
        <w:tc>
          <w:tcPr>
            <w:tcW w:w="2500" w:type="dxa"/>
            <w:vAlign w:val="center"/>
          </w:tcPr>
          <w:p>
            <w:pPr>
              <w:spacing w:before="20" w:after="20" w:line="240" w:lineRule="auto"/>
              <w:jc w:val="center"/>
            </w:pPr>
            <w:r>
              <w:rPr>
                <w:rFonts w:ascii="Times New Roman" w:eastAsia="SimSun" w:hAnsi="Times New Roman"/>
                <w:sz w:val="21"/>
              </w:rPr>
              <w:t xml:space="preserve">3.2±1.1</w:t>
            </w:r>
          </w:p>
        </w:tc>
        <w:tc>
          <w:tcPr>
            <w:tcW w:w="2500" w:type="dxa"/>
            <w:vAlign w:val="center"/>
          </w:tcPr>
          <w:p>
            <w:pPr>
              <w:spacing w:before="20" w:after="20" w:line="240" w:lineRule="auto"/>
              <w:jc w:val="center"/>
            </w:pPr>
            <w:r>
              <w:rPr>
                <w:rFonts w:ascii="Times New Roman" w:eastAsia="SimSun" w:hAnsi="Times New Roman"/>
                <w:sz w:val="21"/>
              </w:rPr>
              <w:t xml:space="preserve">53.2±1.1</w:t>
            </w:r>
          </w:p>
        </w:tc>
        <w:tc>
          <w:tcPr>
            <w:tcW w:w="2500" w:type="dxa"/>
            <w:vAlign w:val="center"/>
          </w:tcPr>
          <w:p>
            <w:pPr>
              <w:spacing w:before="20" w:after="20" w:line="240" w:lineRule="auto"/>
              <w:jc w:val="center"/>
            </w:pPr>
            <w:r>
              <w:rPr>
                <w:rFonts w:ascii="Times New Roman" w:eastAsia="SimSun" w:hAnsi="Times New Roman"/>
                <w:sz w:val="21"/>
              </w:rPr>
              <w:t xml:space="preserve">53.2±1.1</w:t>
            </w:r>
          </w:p>
        </w:tc>
      </w:tr>
      <w:tr>
        <w:trPr>
          <w:cantSplit/>
          <w:jc w:val="center"/>
        </w:trPr>
        <w:tc>
          <w:tcPr>
            <w:tcW w:w="1906" w:type="dxa"/>
            <w:vAlign w:val="center"/>
          </w:tcPr>
          <w:p>
            <w:pPr>
              <w:spacing w:before="20" w:after="20" w:line="240" w:lineRule="auto"/>
              <w:jc w:val="left"/>
            </w:pPr>
            <w:r>
              <w:rPr>
                <w:rFonts w:ascii="Times New Roman" w:eastAsia="SimSun" w:hAnsi="Times New Roman"/>
                <w:sz w:val="21"/>
              </w:rPr>
              <w:t xml:space="preserve">每批下调规则等级</w:t>
            </w:r>
          </w:p>
        </w:tc>
        <w:tc>
          <w:tcPr>
            <w:tcW w:w="2500" w:type="dxa"/>
            <w:vAlign w:val="center"/>
          </w:tcPr>
          <w:p>
            <w:pPr>
              <w:spacing w:before="20" w:after="20" w:line="240" w:lineRule="auto"/>
              <w:jc w:val="center"/>
            </w:pPr>
            <w:r>
              <w:rPr>
                <w:rFonts w:ascii="Times New Roman" w:eastAsia="SimSun" w:hAnsi="Times New Roman"/>
                <w:sz w:val="21"/>
              </w:rPr>
              <w:t xml:space="preserve">50.0±0.0</w:t>
            </w:r>
          </w:p>
        </w:tc>
        <w:tc>
          <w:tcPr>
            <w:tcW w:w="2500" w:type="dxa"/>
            <w:vAlign w:val="center"/>
          </w:tcPr>
          <w:p>
            <w:pPr>
              <w:spacing w:before="20" w:after="20" w:line="240" w:lineRule="auto"/>
              <w:jc w:val="center"/>
            </w:pPr>
            <w:r>
              <w:rPr>
                <w:rFonts w:ascii="Times New Roman" w:eastAsia="SimSun" w:hAnsi="Times New Roman"/>
                <w:sz w:val="21"/>
              </w:rPr>
              <w:t xml:space="preserve">0</w:t>
            </w:r>
          </w:p>
        </w:tc>
        <w:tc>
          <w:tcPr>
            <w:tcW w:w="2500" w:type="dxa"/>
            <w:vAlign w:val="center"/>
          </w:tcPr>
          <w:p>
            <w:pPr>
              <w:spacing w:before="20" w:after="20" w:line="240" w:lineRule="auto"/>
              <w:jc w:val="center"/>
            </w:pPr>
            <w:r>
              <w:rPr>
                <w:rFonts w:ascii="Times New Roman" w:eastAsia="SimSun" w:hAnsi="Times New Roman"/>
                <w:sz w:val="21"/>
              </w:rPr>
              <w:t xml:space="preserve">0</w:t>
            </w:r>
          </w:p>
        </w:tc>
      </w:tr>
    </w:tbl>
    <w:p>
      <w:pPr>
        <w:spacing w:after="0" w:line="360" w:lineRule="auto"/>
        <w:ind w:firstLine="480"/>
        <w:jc w:val="both"/>
      </w:pPr>
      <w:r>
        <w:rPr>
          <w:rFonts w:ascii="Times New Roman" w:eastAsia="SimSun" w:hAnsi="Times New Roman"/>
          <w:sz w:val="24"/>
        </w:rPr>
        <w:t xml:space="preserve">仅施加基准约束时选中不带下限的堆叠RF，迁移准确率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9</w:t>
      </w:r>
      <w:r>
        <w:rPr>
          <w:rFonts w:ascii="Times New Roman" w:eastAsia="SimSun" w:hAnsi="Times New Roman"/>
          <w:sz w:val="24"/>
        </w:rPr>
        <w:t xml:space="preserve">6</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，但每批都下调50个规则等级；加物理下限约束后选中堆叠RF+序数下限，迁移准确率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9</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无C类低估，比声明的RF+序数下限高1.8个百分点。两者之差是物理下限约束在生成器内的代价：5.7个百分点的准确率和50个A类高估，即规则链在渗流与复合情景中的渗流门控升级。下调渗流门控等级在真实堤防上是否安全，现有数据无法回答，因此评价体系单独报告这一代价；在现场标签到位前，可部署的运行点应满足物理下限约束。</w:t>
      </w:r>
    </w:p>
    <w:p>
      <w:pPr>
        <w:keepNext/>
        <w:spacing w:before="120" w:after="120" w:line="360" w:lineRule="auto"/>
      </w:pPr>
      <w:r>
        <w:rPr>
          <w:rFonts w:ascii="Times New Roman" w:eastAsia="SimHei" w:hAnsi="Times New Roman"/>
          <w:b/>
          <w:sz w:val="24"/>
        </w:rPr>
        <w:t xml:space="preserve">5.8.5  巡检证据通道与K45+500工程案例溯源</w:t>
      </w:r>
    </w:p>
    <w:p>
      <w:pPr>
        <w:spacing w:after="0" w:line="360" w:lineRule="auto"/>
        <w:ind w:firstLine="480"/>
        <w:jc w:val="both"/>
      </w:pPr>
      <w:r>
        <w:rPr>
          <w:rFonts w:ascii="Times New Roman" w:eastAsia="SimSun" w:hAnsi="Times New Roman"/>
          <w:sz w:val="24"/>
        </w:rPr>
        <w:t xml:space="preserve">观测通道配对消融表明：关闭观测上限时得分与等级均不变；把C3置为“无异常”锚点后150条得分变化（最大1.39分），但无等级变化。结合5.3.3节的现场结果，C3通道的价值首先在于阻止误报和未观测进入等级，而不是在受控基准上提高准确率。</w:t>
      </w:r>
    </w:p>
    <w:p>
      <w:pPr>
        <w:spacing w:after="0" w:line="360" w:lineRule="auto"/>
        <w:ind w:firstLine="480"/>
        <w:jc w:val="both"/>
      </w:pPr>
      <w:r>
        <w:rPr>
          <w:rFonts w:ascii="Times New Roman" w:eastAsia="SimSun" w:hAnsi="Times New Roman"/>
          <w:sz w:val="24"/>
        </w:rPr>
        <w:t xml:space="preserve">K45+500断面位于2017年K44+500—K46+096管涌险情段内，交付结果在35.90 m代表高水位下给出得分24.3481、C级、渗流破坏主控，其证据台账见表5.8。</w:t>
      </w:r>
    </w:p>
    <w:p>
      <w:pPr>
        <w:keepNext/>
        <w:spacing w:before="120" w:after="60" w:line="240" w:lineRule="auto"/>
        <w:jc w:val="center"/>
      </w:pPr>
      <w:r>
        <w:rPr>
          <w:rFonts w:ascii="Times New Roman" w:eastAsia="SimSun" w:hAnsi="Times New Roman"/>
          <w:sz w:val="21"/>
        </w:rPr>
        <w:t xml:space="preserve">表5.8  K45+500案例证据台账摘要</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400"/>
        <w:gridCol w:w="3600"/>
        <w:gridCol w:w="1700"/>
        <w:gridCol w:w="2706"/>
      </w:tblGrid>
      <w:tr>
        <w:trPr>
          <w:tblHeader/>
          <w:cantSplit/>
          <w:jc w:val="center"/>
        </w:trPr>
        <w:tc>
          <w:tcPr>
            <w:tcW w:w="1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项目</w:t>
            </w:r>
          </w:p>
        </w:tc>
        <w:tc>
          <w:tcPr>
            <w:tcW w:w="3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交付结果</w:t>
            </w:r>
          </w:p>
        </w:tc>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证据状态</w:t>
            </w:r>
          </w:p>
        </w:tc>
        <w:tc>
          <w:tcPr>
            <w:tcW w:w="27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对结论的作用</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水位工况</w:t>
            </w:r>
          </w:p>
        </w:tc>
        <w:tc>
          <w:tcPr>
            <w:tcW w:w="3600" w:type="dxa"/>
            <w:vAlign w:val="center"/>
          </w:tcPr>
          <w:p>
            <w:pPr>
              <w:spacing w:before="20" w:after="20" w:line="240" w:lineRule="auto"/>
              <w:jc w:val="left"/>
            </w:pPr>
            <w:r>
              <w:rPr>
                <w:rFonts w:ascii="Times New Roman" w:eastAsia="SimSun" w:hAnsi="Times New Roman"/>
                <w:sz w:val="21"/>
              </w:rPr>
              <w:t xml:space="preserve">临水位35.90 m</w:t>
            </w:r>
          </w:p>
        </w:tc>
        <w:tc>
          <w:tcPr>
            <w:tcW w:w="1700" w:type="dxa"/>
            <w:vAlign w:val="center"/>
          </w:tcPr>
          <w:p>
            <w:pPr>
              <w:spacing w:before="20" w:after="20" w:line="240" w:lineRule="auto"/>
              <w:jc w:val="left"/>
            </w:pPr>
            <w:r>
              <w:rPr>
                <w:rFonts w:ascii="Times New Roman" w:eastAsia="SimSun" w:hAnsi="Times New Roman"/>
                <w:sz w:val="21"/>
              </w:rPr>
              <w:t xml:space="preserve">代表取值，非2017年实测</w:t>
            </w:r>
          </w:p>
        </w:tc>
        <w:tc>
          <w:tcPr>
            <w:tcW w:w="2706" w:type="dxa"/>
            <w:vAlign w:val="center"/>
          </w:tcPr>
          <w:p>
            <w:pPr>
              <w:spacing w:before="20" w:after="20" w:line="240" w:lineRule="auto"/>
              <w:jc w:val="left"/>
            </w:pPr>
            <w:r>
              <w:rPr>
                <w:rFonts w:ascii="Times New Roman" w:eastAsia="SimSun" w:hAnsi="Times New Roman"/>
                <w:sz w:val="21"/>
              </w:rPr>
              <w:t xml:space="preserve">结论对应构造工况</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C1控制层</w:t>
            </w:r>
          </w:p>
        </w:tc>
        <w:tc>
          <w:tcPr>
            <w:tcW w:w="3600" w:type="dxa"/>
            <w:vAlign w:val="center"/>
          </w:tcPr>
          <w:p>
            <w:pPr>
              <w:spacing w:before="20" w:after="20" w:line="240" w:lineRule="auto"/>
              <w:jc w:val="left"/>
            </w:pPr>
            <w:r>
              <w:rPr>
                <w:rFonts w:ascii="Times New Roman" w:eastAsia="SimSun" w:hAnsi="Times New Roman"/>
                <w:sz w:val="21"/>
              </w:rPr>
              <w:t xml:space="preserve">淤泥质粉质黏土 </w:t>
            </w:r>
            <w:r>
              <w:rPr>
                <w:rFonts w:ascii="Times New Roman" w:eastAsia="SimSun" w:hAnsi="Times New Roman"/>
                <w:i/>
                <w:sz w:val="21"/>
              </w:rPr>
              <w:t xml:space="preserve">i</w:t>
            </w:r>
            <w:r>
              <w:rPr>
                <w:rFonts w:ascii="Times New Roman" w:eastAsia="SimSun" w:hAnsi="Times New Roman"/>
                <w:sz w:val="21"/>
              </w:rPr>
              <w:t xml:space="preserve">/</w:t>
            </w:r>
            <w:r>
              <w:rPr>
                <w:rFonts w:ascii="Times New Roman" w:eastAsia="SimSun" w:hAnsi="Times New Roman"/>
                <w:i/>
                <w:sz w:val="21"/>
              </w:rPr>
              <w:t xml:space="preserve">i</w:t>
            </w:r>
            <w:r>
              <w:rPr>
                <w:rFonts w:ascii="Times New Roman" w:eastAsia="SimSun" w:hAnsi="Times New Roman"/>
                <w:sz w:val="21"/>
                <w:vertAlign w:val="subscript"/>
              </w:rPr>
              <w:t xml:space="preserve">cr</w:t>
            </w:r>
            <w:r>
              <w:rPr>
                <w:rFonts w:ascii="Times New Roman" w:eastAsia="SimSun" w:hAnsi="Times New Roman"/>
                <w:sz w:val="21"/>
              </w:rPr>
              <w:t xml:space="preserve"> = </w:t>
            </w:r>
            <w:r>
              <w:rPr>
                <w:rFonts w:ascii="Times New Roman" w:eastAsia="SimSun" w:hAnsi="Times New Roman"/>
                <w:sz w:val="21"/>
              </w:rPr>
              <w:t xml:space="preserve">0</w:t>
            </w:r>
            <w:r>
              <w:rPr>
                <w:rFonts w:ascii="Times New Roman" w:eastAsia="SimSun" w:hAnsi="Times New Roman"/>
                <w:sz w:val="21"/>
              </w:rPr>
              <w:t xml:space="preserve">.</w:t>
            </w:r>
            <w:r>
              <w:rPr>
                <w:rFonts w:ascii="Times New Roman" w:eastAsia="SimSun" w:hAnsi="Times New Roman"/>
                <w:sz w:val="21"/>
              </w:rPr>
              <w:t xml:space="preserve">8</w:t>
            </w:r>
            <w:r>
              <w:rPr>
                <w:rFonts w:ascii="Times New Roman" w:eastAsia="SimSun" w:hAnsi="Times New Roman"/>
                <w:sz w:val="21"/>
              </w:rPr>
              <w:t xml:space="preserve">6</w:t>
            </w:r>
            <w:r>
              <w:rPr>
                <w:rFonts w:ascii="Times New Roman" w:eastAsia="SimSun" w:hAnsi="Times New Roman"/>
                <w:sz w:val="21"/>
              </w:rPr>
              <w:t xml:space="preserve">5</w:t>
            </w:r>
            <w:r>
              <w:rPr>
                <w:rFonts w:ascii="Times New Roman" w:eastAsia="SimSun" w:hAnsi="Times New Roman"/>
                <w:sz w:val="21"/>
              </w:rPr>
              <w:t xml:space="preserve">/</w:t>
            </w:r>
            <w:r>
              <w:rPr>
                <w:rFonts w:ascii="Times New Roman" w:eastAsia="SimSun" w:hAnsi="Times New Roman"/>
                <w:sz w:val="21"/>
              </w:rPr>
              <w:t xml:space="preserve">0</w:t>
            </w:r>
            <w:r>
              <w:rPr>
                <w:rFonts w:ascii="Times New Roman" w:eastAsia="SimSun" w:hAnsi="Times New Roman"/>
                <w:sz w:val="21"/>
              </w:rPr>
              <w:t xml:space="preserve">.</w:t>
            </w:r>
            <w:r>
              <w:rPr>
                <w:rFonts w:ascii="Times New Roman" w:eastAsia="SimSun" w:hAnsi="Times New Roman"/>
                <w:sz w:val="21"/>
              </w:rPr>
              <w:t xml:space="preserve">8</w:t>
            </w:r>
            <w:r>
              <w:rPr>
                <w:rFonts w:ascii="Times New Roman" w:eastAsia="SimSun" w:hAnsi="Times New Roman"/>
                <w:sz w:val="21"/>
              </w:rPr>
              <w:t xml:space="preserve">2</w:t>
            </w:r>
            <w:r>
              <w:rPr>
                <w:rFonts w:ascii="Times New Roman" w:eastAsia="SimSun" w:hAnsi="Times New Roman"/>
                <w:sz w:val="21"/>
              </w:rPr>
              <w:t xml:space="preserve">7</w:t>
            </w:r>
            <w:r>
              <w:rPr>
                <w:rFonts w:ascii="Times New Roman" w:eastAsia="SimSun" w:hAnsi="Times New Roman"/>
                <w:sz w:val="21"/>
              </w:rPr>
              <w:t xml:space="preserve"> = </w:t>
            </w:r>
            <w:r>
              <w:rPr>
                <w:rFonts w:ascii="Times New Roman" w:eastAsia="SimSun" w:hAnsi="Times New Roman"/>
                <w:sz w:val="21"/>
              </w:rPr>
              <w:t xml:space="preserve">1</w:t>
            </w:r>
            <w:r>
              <w:rPr>
                <w:rFonts w:ascii="Times New Roman" w:eastAsia="SimSun" w:hAnsi="Times New Roman"/>
                <w:sz w:val="21"/>
              </w:rPr>
              <w:t xml:space="preserve">.</w:t>
            </w:r>
            <w:r>
              <w:rPr>
                <w:rFonts w:ascii="Times New Roman" w:eastAsia="SimSun" w:hAnsi="Times New Roman"/>
                <w:sz w:val="21"/>
              </w:rPr>
              <w:t xml:space="preserve">0</w:t>
            </w:r>
            <w:r>
              <w:rPr>
                <w:rFonts w:ascii="Times New Roman" w:eastAsia="SimSun" w:hAnsi="Times New Roman"/>
                <w:sz w:val="21"/>
              </w:rPr>
              <w:t xml:space="preserve">4</w:t>
            </w:r>
            <w:r>
              <w:rPr>
                <w:rFonts w:ascii="Times New Roman" w:eastAsia="SimSun" w:hAnsi="Times New Roman"/>
                <w:sz w:val="21"/>
              </w:rPr>
              <w:t xml:space="preserve">5</w:t>
            </w:r>
          </w:p>
        </w:tc>
        <w:tc>
          <w:tcPr>
            <w:tcW w:w="1700" w:type="dxa"/>
            <w:vAlign w:val="center"/>
          </w:tcPr>
          <w:p>
            <w:pPr>
              <w:spacing w:before="20" w:after="20" w:line="240" w:lineRule="auto"/>
              <w:jc w:val="left"/>
            </w:pPr>
            <w:r>
              <w:rPr>
                <w:rFonts w:ascii="Times New Roman" w:eastAsia="SimSun" w:hAnsi="Times New Roman"/>
                <w:sz w:val="21"/>
              </w:rPr>
              <w:t xml:space="preserve">数值计算摘录</w:t>
            </w:r>
          </w:p>
        </w:tc>
        <w:tc>
          <w:tcPr>
            <w:tcW w:w="2706" w:type="dxa"/>
            <w:vAlign w:val="center"/>
          </w:tcPr>
          <w:p>
            <w:pPr>
              <w:spacing w:before="20" w:after="20" w:line="240" w:lineRule="auto"/>
              <w:jc w:val="left"/>
            </w:pPr>
            <w:r>
              <w:rPr>
                <w:rFonts w:ascii="Times New Roman" w:eastAsia="SimSun" w:hAnsi="Times New Roman"/>
                <w:sz w:val="21"/>
              </w:rPr>
              <w:t xml:space="preserve">触发C级门控</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出口区土层</w:t>
            </w:r>
          </w:p>
        </w:tc>
        <w:tc>
          <w:tcPr>
            <w:tcW w:w="3600" w:type="dxa"/>
            <w:vAlign w:val="center"/>
          </w:tcPr>
          <w:p>
            <w:pPr>
              <w:spacing w:before="20" w:after="20" w:line="240" w:lineRule="auto"/>
              <w:jc w:val="left"/>
            </w:pPr>
            <w:r>
              <w:rPr>
                <w:rFonts w:ascii="Times New Roman" w:eastAsia="SimSun" w:hAnsi="Times New Roman"/>
                <w:sz w:val="21"/>
              </w:rPr>
              <w:t xml:space="preserve">粉细砂/砂壤土 </w:t>
            </w:r>
            <w:r>
              <w:rPr>
                <w:rFonts w:ascii="Times New Roman" w:eastAsia="SimSun" w:hAnsi="Times New Roman"/>
                <w:i/>
                <w:sz w:val="21"/>
              </w:rPr>
              <w:t xml:space="preserve">i</w:t>
            </w:r>
            <w:r>
              <w:rPr>
                <w:rFonts w:ascii="Times New Roman" w:eastAsia="SimSun" w:hAnsi="Times New Roman"/>
                <w:sz w:val="21"/>
              </w:rPr>
              <w:t xml:space="preserve">/</w:t>
            </w:r>
            <w:r>
              <w:rPr>
                <w:rFonts w:ascii="Times New Roman" w:eastAsia="SimSun" w:hAnsi="Times New Roman"/>
                <w:i/>
                <w:sz w:val="21"/>
              </w:rPr>
              <w:t xml:space="preserve">i</w:t>
            </w:r>
            <w:r>
              <w:rPr>
                <w:rFonts w:ascii="Times New Roman" w:eastAsia="SimSun" w:hAnsi="Times New Roman"/>
                <w:sz w:val="21"/>
                <w:vertAlign w:val="subscript"/>
              </w:rPr>
              <w:t xml:space="preserve">cr</w:t>
            </w:r>
            <w:r>
              <w:rPr>
                <w:rFonts w:ascii="Times New Roman" w:eastAsia="SimSun" w:hAnsi="Times New Roman"/>
                <w:sz w:val="21"/>
              </w:rPr>
              <w:t xml:space="preserve"> = </w:t>
            </w:r>
            <w:r>
              <w:rPr>
                <w:rFonts w:ascii="Times New Roman" w:eastAsia="SimSun" w:hAnsi="Times New Roman"/>
                <w:sz w:val="21"/>
              </w:rPr>
              <w:t xml:space="preserve">0</w:t>
            </w:r>
            <w:r>
              <w:rPr>
                <w:rFonts w:ascii="Times New Roman" w:eastAsia="SimSun" w:hAnsi="Times New Roman"/>
                <w:sz w:val="21"/>
              </w:rPr>
              <w:t xml:space="preserve">.</w:t>
            </w:r>
            <w:r>
              <w:rPr>
                <w:rFonts w:ascii="Times New Roman" w:eastAsia="SimSun" w:hAnsi="Times New Roman"/>
                <w:sz w:val="21"/>
              </w:rPr>
              <w:t xml:space="preserve">4</w:t>
            </w:r>
            <w:r>
              <w:rPr>
                <w:rFonts w:ascii="Times New Roman" w:eastAsia="SimSun" w:hAnsi="Times New Roman"/>
                <w:sz w:val="21"/>
              </w:rPr>
              <w:t xml:space="preserve">1</w:t>
            </w:r>
            <w:r>
              <w:rPr>
                <w:rFonts w:ascii="Times New Roman" w:eastAsia="SimSun" w:hAnsi="Times New Roman"/>
                <w:sz w:val="21"/>
              </w:rPr>
              <w:t xml:space="preserve">0</w:t>
            </w:r>
          </w:p>
        </w:tc>
        <w:tc>
          <w:tcPr>
            <w:tcW w:w="1700" w:type="dxa"/>
            <w:vAlign w:val="center"/>
          </w:tcPr>
          <w:p>
            <w:pPr>
              <w:spacing w:before="20" w:after="20" w:line="240" w:lineRule="auto"/>
              <w:jc w:val="left"/>
            </w:pPr>
            <w:r>
              <w:rPr>
                <w:rFonts w:ascii="Times New Roman" w:eastAsia="SimSun" w:hAnsi="Times New Roman"/>
                <w:sz w:val="21"/>
              </w:rPr>
              <w:t xml:space="preserve">数值计算摘录</w:t>
            </w:r>
          </w:p>
        </w:tc>
        <w:tc>
          <w:tcPr>
            <w:tcW w:w="2706" w:type="dxa"/>
            <w:vAlign w:val="center"/>
          </w:tcPr>
          <w:p>
            <w:pPr>
              <w:spacing w:before="20" w:after="20" w:line="240" w:lineRule="auto"/>
              <w:jc w:val="left"/>
            </w:pPr>
            <w:r>
              <w:rPr>
                <w:rFonts w:ascii="Times New Roman" w:eastAsia="SimSun" w:hAnsi="Times New Roman"/>
                <w:sz w:val="21"/>
              </w:rPr>
              <w:t xml:space="preserve">不触发门控</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D1、D3</w:t>
            </w:r>
          </w:p>
        </w:tc>
        <w:tc>
          <w:tcPr>
            <w:tcW w:w="3600" w:type="dxa"/>
            <w:vAlign w:val="center"/>
          </w:tcPr>
          <w:p>
            <w:pPr>
              <w:spacing w:before="20" w:after="20" w:line="240" w:lineRule="auto"/>
              <w:jc w:val="left"/>
            </w:pPr>
            <w:r>
              <w:rPr>
                <w:rFonts w:ascii="Times New Roman" w:eastAsia="SimSun" w:hAnsi="Times New Roman"/>
                <w:sz w:val="21"/>
              </w:rPr>
              <w:t xml:space="preserve">背水坡FoS=1.155；冲刷0.40 m（D3=70）</w:t>
            </w:r>
          </w:p>
        </w:tc>
        <w:tc>
          <w:tcPr>
            <w:tcW w:w="1700" w:type="dxa"/>
            <w:vAlign w:val="center"/>
          </w:tcPr>
          <w:p>
            <w:pPr>
              <w:spacing w:before="20" w:after="20" w:line="240" w:lineRule="auto"/>
              <w:jc w:val="left"/>
            </w:pPr>
            <w:r>
              <w:rPr>
                <w:rFonts w:ascii="Times New Roman" w:eastAsia="SimSun" w:hAnsi="Times New Roman"/>
                <w:sz w:val="21"/>
              </w:rPr>
              <w:t xml:space="preserve">计算值与历史信息</w:t>
            </w:r>
          </w:p>
        </w:tc>
        <w:tc>
          <w:tcPr>
            <w:tcW w:w="2706" w:type="dxa"/>
            <w:vAlign w:val="center"/>
          </w:tcPr>
          <w:p>
            <w:pPr>
              <w:spacing w:before="20" w:after="20" w:line="240" w:lineRule="auto"/>
              <w:jc w:val="left"/>
            </w:pPr>
            <w:r>
              <w:rPr>
                <w:rFonts w:ascii="Times New Roman" w:eastAsia="SimSun" w:hAnsi="Times New Roman"/>
                <w:sz w:val="21"/>
              </w:rPr>
              <w:t xml:space="preserve">各触发B级门控</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C3</w:t>
            </w:r>
          </w:p>
        </w:tc>
        <w:tc>
          <w:tcPr>
            <w:tcW w:w="3600" w:type="dxa"/>
            <w:vAlign w:val="center"/>
          </w:tcPr>
          <w:p>
            <w:pPr>
              <w:spacing w:before="20" w:after="20" w:line="240" w:lineRule="auto"/>
              <w:jc w:val="left"/>
            </w:pPr>
            <w:r>
              <w:rPr>
                <w:rFonts w:ascii="Times New Roman" w:eastAsia="SimSun" w:hAnsi="Times New Roman"/>
                <w:sz w:val="21"/>
              </w:rPr>
              <w:t xml:space="preserve">2017年确认管涌，记0分</w:t>
            </w:r>
          </w:p>
        </w:tc>
        <w:tc>
          <w:tcPr>
            <w:tcW w:w="1700" w:type="dxa"/>
            <w:vAlign w:val="center"/>
          </w:tcPr>
          <w:p>
            <w:pPr>
              <w:spacing w:before="20" w:after="20" w:line="240" w:lineRule="auto"/>
              <w:jc w:val="left"/>
            </w:pPr>
            <w:r>
              <w:rPr>
                <w:rFonts w:ascii="Times New Roman" w:eastAsia="SimSun" w:hAnsi="Times New Roman"/>
                <w:sz w:val="21"/>
              </w:rPr>
              <w:t xml:space="preserve">历史事件，非当期巡检</w:t>
            </w:r>
          </w:p>
        </w:tc>
        <w:tc>
          <w:tcPr>
            <w:tcW w:w="2706" w:type="dxa"/>
            <w:vAlign w:val="center"/>
          </w:tcPr>
          <w:p>
            <w:pPr>
              <w:spacing w:before="20" w:after="20" w:line="240" w:lineRule="auto"/>
              <w:jc w:val="left"/>
            </w:pPr>
            <w:r>
              <w:rPr>
                <w:rFonts w:ascii="Times New Roman" w:eastAsia="SimSun" w:hAnsi="Times New Roman"/>
                <w:sz w:val="21"/>
              </w:rPr>
              <w:t xml:space="preserve">渗流模式已取1，不改变得分与等级</w:t>
            </w:r>
          </w:p>
        </w:tc>
      </w:tr>
      <w:tr>
        <w:trPr>
          <w:cantSplit/>
          <w:jc w:val="center"/>
        </w:trPr>
        <w:tc>
          <w:tcPr>
            <w:tcW w:w="1400" w:type="dxa"/>
            <w:vAlign w:val="center"/>
          </w:tcPr>
          <w:p>
            <w:pPr>
              <w:spacing w:before="20" w:after="20" w:line="240" w:lineRule="auto"/>
              <w:jc w:val="left"/>
            </w:pPr>
            <w:r>
              <w:rPr>
                <w:rFonts w:ascii="Times New Roman" w:eastAsia="SimSun" w:hAnsi="Times New Roman"/>
                <w:sz w:val="21"/>
              </w:rPr>
              <w:t xml:space="preserve">完整性与版本</w:t>
            </w:r>
          </w:p>
        </w:tc>
        <w:tc>
          <w:tcPr>
            <w:tcW w:w="3600" w:type="dxa"/>
            <w:vAlign w:val="center"/>
          </w:tcPr>
          <w:p>
            <w:pPr>
              <w:spacing w:before="20" w:after="20" w:line="240" w:lineRule="auto"/>
              <w:jc w:val="left"/>
            </w:pPr>
            <w:r>
              <w:rPr>
                <w:rFonts w:ascii="Times New Roman" w:eastAsia="SimSun" w:hAnsi="Times New Roman"/>
                <w:sz w:val="21"/>
              </w:rPr>
              <w:t xml:space="preserve">15项缺失，A8、A9、B2、D5来源冲突；程序版本与875基线不同</w:t>
            </w:r>
          </w:p>
        </w:tc>
        <w:tc>
          <w:tcPr>
            <w:tcW w:w="1700" w:type="dxa"/>
            <w:vAlign w:val="center"/>
          </w:tcPr>
          <w:p>
            <w:pPr>
              <w:spacing w:before="20" w:after="20" w:line="240" w:lineRule="auto"/>
              <w:jc w:val="left"/>
            </w:pPr>
            <w:r>
              <w:rPr>
                <w:rFonts w:ascii="Times New Roman" w:eastAsia="SimSun" w:hAnsi="Times New Roman"/>
                <w:sz w:val="21"/>
              </w:rPr>
              <w:t xml:space="preserve">缺失、冲突与版本差异</w:t>
            </w:r>
          </w:p>
        </w:tc>
        <w:tc>
          <w:tcPr>
            <w:tcW w:w="2706" w:type="dxa"/>
            <w:vAlign w:val="center"/>
          </w:tcPr>
          <w:p>
            <w:pPr>
              <w:spacing w:before="20" w:after="20" w:line="240" w:lineRule="auto"/>
              <w:jc w:val="left"/>
            </w:pPr>
            <w:r>
              <w:rPr>
                <w:rFonts w:ascii="Times New Roman" w:eastAsia="SimSun" w:hAnsi="Times New Roman"/>
                <w:sz w:val="21"/>
              </w:rPr>
              <w:t xml:space="preserve">需按原运行输入核定</w:t>
            </w:r>
          </w:p>
        </w:tc>
      </w:tr>
    </w:tbl>
    <w:p>
      <w:pPr>
        <w:spacing w:after="0" w:line="360" w:lineRule="auto"/>
        <w:ind w:firstLine="480"/>
        <w:jc w:val="both"/>
      </w:pPr>
      <w:r>
        <w:rPr>
          <w:rFonts w:ascii="Times New Roman" w:eastAsia="SimSun" w:hAnsi="Times New Roman"/>
          <w:sz w:val="24"/>
        </w:rPr>
        <w:t xml:space="preserve">由于C1达到临界时渗流模式响应直接取1，C3=0不改变得分与等级；但历史信息还进入了A6（0分）和D3（70分），得分并不独立于历史记录。C级完全取决于C1门控，而C1取自2.6—11.1 m深处淤泥质粉质黏土层的最大梯度；按5.5.1节的出口提取规则取出口区的0.410，则C1门控不再触发，等级下限变为B，最终等级取决于重算得分，而重算所需的原始输入不在资料包中。因此，该案例证明评价链能暴露C级结论所依赖的关键可采纳性判断，而不是独立盲测；2025年巡检记录尚未与该断面完成时空关联，本章不把9个现场误报写入其C3。</w:t>
      </w:r>
    </w:p>
    <w:p>
      <w:pPr>
        <w:keepNext/>
        <w:spacing w:before="120" w:after="120" w:line="360" w:lineRule="auto"/>
      </w:pPr>
      <w:r>
        <w:rPr>
          <w:rFonts w:ascii="Times New Roman" w:eastAsia="SimHei" w:hAnsi="Times New Roman"/>
          <w:b/>
          <w:sz w:val="24"/>
        </w:rPr>
        <w:t xml:space="preserve">5.8.6  验证状态与适用边界</w:t>
      </w:r>
    </w:p>
    <w:p>
      <w:pPr>
        <w:spacing w:after="0" w:line="360" w:lineRule="auto"/>
        <w:ind w:firstLine="480"/>
        <w:jc w:val="both"/>
      </w:pPr>
      <w:r>
        <w:rPr>
          <w:rFonts w:ascii="Times New Roman" w:eastAsia="SimSun" w:hAnsi="Times New Roman"/>
          <w:sz w:val="24"/>
        </w:rPr>
        <w:t xml:space="preserve">各组成部分的验证状态见表5.9。</w:t>
      </w:r>
    </w:p>
    <w:p>
      <w:pPr>
        <w:keepNext/>
        <w:spacing w:before="120" w:after="60" w:line="240" w:lineRule="auto"/>
        <w:jc w:val="center"/>
      </w:pPr>
      <w:r>
        <w:rPr>
          <w:rFonts w:ascii="Times New Roman" w:eastAsia="SimSun" w:hAnsi="Times New Roman"/>
          <w:sz w:val="21"/>
        </w:rPr>
        <w:t xml:space="preserve">表5.9  评价方法各组成部分的验证状态</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000"/>
        <w:gridCol w:w="3400"/>
        <w:gridCol w:w="4006"/>
      </w:tblGrid>
      <w:tr>
        <w:trPr>
          <w:tblHeader/>
          <w:cantSplit/>
          <w:jc w:val="center"/>
        </w:trPr>
        <w:tc>
          <w:tcPr>
            <w:tcW w:w="2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组成部分</w:t>
            </w:r>
          </w:p>
        </w:tc>
        <w:tc>
          <w:tcPr>
            <w:tcW w:w="3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已有证据</w:t>
            </w:r>
          </w:p>
        </w:tc>
        <w:tc>
          <w:tcPr>
            <w:tcW w:w="40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尚缺的验证</w:t>
            </w:r>
          </w:p>
        </w:tc>
      </w:tr>
      <w:tr>
        <w:trPr>
          <w:cantSplit/>
          <w:jc w:val="center"/>
        </w:trPr>
        <w:tc>
          <w:tcPr>
            <w:tcW w:w="2000" w:type="dxa"/>
            <w:vAlign w:val="center"/>
          </w:tcPr>
          <w:p>
            <w:pPr>
              <w:spacing w:before="20" w:after="20" w:line="240" w:lineRule="auto"/>
              <w:jc w:val="left"/>
            </w:pPr>
            <w:r>
              <w:rPr>
                <w:rFonts w:ascii="Times New Roman" w:eastAsia="SimSun" w:hAnsi="Times New Roman"/>
                <w:sz w:val="21"/>
              </w:rPr>
              <w:t xml:space="preserve">证据状态与时空关联</w:t>
            </w:r>
          </w:p>
        </w:tc>
        <w:tc>
          <w:tcPr>
            <w:tcW w:w="3400" w:type="dxa"/>
            <w:vAlign w:val="center"/>
          </w:tcPr>
          <w:p>
            <w:pPr>
              <w:spacing w:before="20" w:after="20" w:line="240" w:lineRule="auto"/>
              <w:jc w:val="left"/>
            </w:pPr>
            <w:r>
              <w:rPr>
                <w:rFonts w:ascii="Times New Roman" w:eastAsia="SimSun" w:hAnsi="Times New Roman"/>
                <w:sz w:val="21"/>
              </w:rPr>
              <w:t xml:space="preserve">原型69项测试；回放示例</w:t>
            </w:r>
          </w:p>
        </w:tc>
        <w:tc>
          <w:tcPr>
            <w:tcW w:w="4006" w:type="dxa"/>
            <w:vAlign w:val="center"/>
          </w:tcPr>
          <w:p>
            <w:pPr>
              <w:spacing w:before="20" w:after="20" w:line="240" w:lineRule="auto"/>
              <w:jc w:val="left"/>
            </w:pPr>
            <w:r>
              <w:rPr>
                <w:rFonts w:ascii="Times New Roman" w:eastAsia="SimSun" w:hAnsi="Times New Roman"/>
                <w:sz w:val="21"/>
              </w:rPr>
              <w:t xml:space="preserve">真实事件—单元关系的人工核对、匹配正确率与歧义率</w:t>
            </w:r>
          </w:p>
        </w:tc>
      </w:tr>
      <w:tr>
        <w:trPr>
          <w:cantSplit/>
          <w:jc w:val="center"/>
        </w:trPr>
        <w:tc>
          <w:tcPr>
            <w:tcW w:w="2000" w:type="dxa"/>
            <w:vAlign w:val="center"/>
          </w:tcPr>
          <w:p>
            <w:pPr>
              <w:spacing w:before="20" w:after="20" w:line="240" w:lineRule="auto"/>
              <w:jc w:val="left"/>
            </w:pPr>
            <w:r>
              <w:rPr>
                <w:rFonts w:ascii="Times New Roman" w:eastAsia="SimSun" w:hAnsi="Times New Roman"/>
                <w:sz w:val="21"/>
              </w:rPr>
              <w:t xml:space="preserve">巡检识别与空间配准</w:t>
            </w:r>
          </w:p>
        </w:tc>
        <w:tc>
          <w:tcPr>
            <w:tcW w:w="3400" w:type="dxa"/>
            <w:vAlign w:val="center"/>
          </w:tcPr>
          <w:p>
            <w:pPr>
              <w:spacing w:before="20" w:after="20" w:line="240" w:lineRule="auto"/>
              <w:jc w:val="left"/>
            </w:pPr>
            <w:r>
              <w:rPr>
                <w:rFonts w:ascii="Times New Roman" w:eastAsia="SimSun" w:hAnsi="Times New Roman"/>
                <w:sz w:val="21"/>
              </w:rPr>
              <w:t xml:space="preserve">9个现场候选复核（上界0.28）；区间关联规则</w:t>
            </w:r>
          </w:p>
        </w:tc>
        <w:tc>
          <w:tcPr>
            <w:tcW w:w="4006" w:type="dxa"/>
            <w:vAlign w:val="center"/>
          </w:tcPr>
          <w:p>
            <w:pPr>
              <w:spacing w:before="20" w:after="20" w:line="240" w:lineRule="auto"/>
              <w:jc w:val="left"/>
            </w:pPr>
            <w:r>
              <w:rPr>
                <w:rFonts w:ascii="Times New Roman" w:eastAsia="SimSun" w:hAnsi="Times New Roman"/>
                <w:sz w:val="21"/>
              </w:rPr>
              <w:t xml:space="preserve">训练测试集与对比实验、逐图真值与漏检、云台姿态与定位误差</w:t>
            </w:r>
          </w:p>
        </w:tc>
      </w:tr>
      <w:tr>
        <w:trPr>
          <w:cantSplit/>
          <w:jc w:val="center"/>
        </w:trPr>
        <w:tc>
          <w:tcPr>
            <w:tcW w:w="2000" w:type="dxa"/>
            <w:vAlign w:val="center"/>
          </w:tcPr>
          <w:p>
            <w:pPr>
              <w:spacing w:before="20" w:after="20" w:line="240" w:lineRule="auto"/>
              <w:jc w:val="left"/>
            </w:pPr>
            <w:r>
              <w:rPr>
                <w:rFonts w:ascii="Times New Roman" w:eastAsia="SimSun" w:hAnsi="Times New Roman"/>
                <w:sz w:val="21"/>
              </w:rPr>
              <w:t xml:space="preserve">渗流指标与门控</w:t>
            </w:r>
          </w:p>
        </w:tc>
        <w:tc>
          <w:tcPr>
            <w:tcW w:w="3400" w:type="dxa"/>
            <w:vAlign w:val="center"/>
          </w:tcPr>
          <w:p>
            <w:pPr>
              <w:spacing w:before="20" w:after="20" w:line="240" w:lineRule="auto"/>
              <w:jc w:val="left"/>
            </w:pPr>
            <w:r>
              <w:rPr>
                <w:rFonts w:ascii="Times New Roman" w:eastAsia="SimSun" w:hAnsi="Times New Roman"/>
                <w:sz w:val="21"/>
              </w:rPr>
              <w:t xml:space="preserve">875受控样本与5个附加批次</w:t>
            </w:r>
          </w:p>
        </w:tc>
        <w:tc>
          <w:tcPr>
            <w:tcW w:w="4006" w:type="dxa"/>
            <w:vAlign w:val="center"/>
          </w:tcPr>
          <w:p>
            <w:pPr>
              <w:spacing w:before="20" w:after="20" w:line="240" w:lineRule="auto"/>
              <w:jc w:val="left"/>
            </w:pPr>
            <w:r>
              <w:rPr>
                <w:rFonts w:ascii="Times New Roman" w:eastAsia="SimSun" w:hAnsi="Times New Roman"/>
                <w:sz w:val="21"/>
              </w:rPr>
              <w:t xml:space="preserve">原生求解器复算、出口判据适用性、门控阈值的工程标定</w:t>
            </w:r>
          </w:p>
        </w:tc>
      </w:tr>
      <w:tr>
        <w:trPr>
          <w:cantSplit/>
          <w:jc w:val="center"/>
        </w:trPr>
        <w:tc>
          <w:tcPr>
            <w:tcW w:w="2000" w:type="dxa"/>
            <w:vAlign w:val="center"/>
          </w:tcPr>
          <w:p>
            <w:pPr>
              <w:spacing w:before="20" w:after="20" w:line="240" w:lineRule="auto"/>
              <w:jc w:val="left"/>
            </w:pPr>
            <w:r>
              <w:rPr>
                <w:rFonts w:ascii="Times New Roman" w:eastAsia="SimSun" w:hAnsi="Times New Roman"/>
                <w:sz w:val="21"/>
              </w:rPr>
              <w:t xml:space="preserve">RF决策层与序数下限</w:t>
            </w:r>
          </w:p>
        </w:tc>
        <w:tc>
          <w:tcPr>
            <w:tcW w:w="3400" w:type="dxa"/>
            <w:vAlign w:val="center"/>
          </w:tcPr>
          <w:p>
            <w:pPr>
              <w:spacing w:before="20" w:after="20" w:line="240" w:lineRule="auto"/>
              <w:jc w:val="left"/>
            </w:pPr>
            <w:r>
              <w:rPr>
                <w:rFonts w:ascii="Times New Roman" w:eastAsia="SimSun" w:hAnsi="Times New Roman"/>
                <w:sz w:val="21"/>
              </w:rPr>
              <w:t xml:space="preserve">6个批次、分组OOF、8类基线</w:t>
            </w:r>
          </w:p>
        </w:tc>
        <w:tc>
          <w:tcPr>
            <w:tcW w:w="4006" w:type="dxa"/>
            <w:vAlign w:val="center"/>
          </w:tcPr>
          <w:p>
            <w:pPr>
              <w:spacing w:before="20" w:after="20" w:line="240" w:lineRule="auto"/>
              <w:jc w:val="left"/>
            </w:pPr>
            <w:r>
              <w:rPr>
                <w:rFonts w:ascii="Times New Roman" w:eastAsia="SimSun" w:hAnsi="Times New Roman"/>
                <w:sz w:val="21"/>
              </w:rPr>
              <w:t xml:space="preserve">独立现场标签、结构状态特征</w:t>
            </w:r>
          </w:p>
        </w:tc>
      </w:tr>
      <w:tr>
        <w:trPr>
          <w:cantSplit/>
          <w:jc w:val="center"/>
        </w:trPr>
        <w:tc>
          <w:tcPr>
            <w:tcW w:w="2000" w:type="dxa"/>
            <w:vAlign w:val="center"/>
          </w:tcPr>
          <w:p>
            <w:pPr>
              <w:spacing w:before="20" w:after="20" w:line="240" w:lineRule="auto"/>
              <w:jc w:val="left"/>
            </w:pPr>
            <w:r>
              <w:rPr>
                <w:rFonts w:ascii="Times New Roman" w:eastAsia="SimSun" w:hAnsi="Times New Roman"/>
                <w:sz w:val="21"/>
              </w:rPr>
              <w:t xml:space="preserve">多目标评价体系</w:t>
            </w:r>
          </w:p>
        </w:tc>
        <w:tc>
          <w:tcPr>
            <w:tcW w:w="3400" w:type="dxa"/>
            <w:vAlign w:val="center"/>
          </w:tcPr>
          <w:p>
            <w:pPr>
              <w:spacing w:before="20" w:after="20" w:line="240" w:lineRule="auto"/>
              <w:jc w:val="left"/>
            </w:pPr>
            <w:r>
              <w:rPr>
                <w:rFonts w:ascii="Times New Roman" w:eastAsia="SimSun" w:hAnsi="Times New Roman"/>
                <w:sz w:val="21"/>
              </w:rPr>
              <w:t xml:space="preserve">6批×4051个策略，选择规则一致</w:t>
            </w:r>
          </w:p>
        </w:tc>
        <w:tc>
          <w:tcPr>
            <w:tcW w:w="4006" w:type="dxa"/>
            <w:vAlign w:val="center"/>
          </w:tcPr>
          <w:p>
            <w:pPr>
              <w:spacing w:before="20" w:after="20" w:line="240" w:lineRule="auto"/>
              <w:jc w:val="left"/>
            </w:pPr>
            <w:r>
              <w:rPr>
                <w:rFonts w:ascii="Times New Roman" w:eastAsia="SimSun" w:hAnsi="Times New Roman"/>
                <w:sz w:val="21"/>
              </w:rPr>
              <w:t xml:space="preserve">目标集、2:1权重与约束的后果标定，下调规则等级的现场安全性</w:t>
            </w:r>
          </w:p>
        </w:tc>
      </w:tr>
      <w:tr>
        <w:trPr>
          <w:cantSplit/>
          <w:jc w:val="center"/>
        </w:trPr>
        <w:tc>
          <w:tcPr>
            <w:tcW w:w="2000" w:type="dxa"/>
            <w:vAlign w:val="center"/>
          </w:tcPr>
          <w:p>
            <w:pPr>
              <w:spacing w:before="20" w:after="20" w:line="240" w:lineRule="auto"/>
              <w:jc w:val="left"/>
            </w:pPr>
            <w:r>
              <w:rPr>
                <w:rFonts w:ascii="Times New Roman" w:eastAsia="SimSun" w:hAnsi="Times New Roman"/>
                <w:sz w:val="21"/>
              </w:rPr>
              <w:t xml:space="preserve">复核门与预警阈值</w:t>
            </w:r>
          </w:p>
        </w:tc>
        <w:tc>
          <w:tcPr>
            <w:tcW w:w="3400" w:type="dxa"/>
            <w:vAlign w:val="center"/>
          </w:tcPr>
          <w:p>
            <w:pPr>
              <w:spacing w:before="20" w:after="20" w:line="240" w:lineRule="auto"/>
              <w:jc w:val="left"/>
            </w:pPr>
            <w:r>
              <w:rPr>
                <w:rFonts w:ascii="Times New Roman" w:eastAsia="SimSun" w:hAnsi="Times New Roman"/>
                <w:sz w:val="21"/>
              </w:rPr>
              <w:t xml:space="preserve">规则回退代理；研究建议</w:t>
            </w:r>
          </w:p>
        </w:tc>
        <w:tc>
          <w:tcPr>
            <w:tcW w:w="4006" w:type="dxa"/>
            <w:vAlign w:val="center"/>
          </w:tcPr>
          <w:p>
            <w:pPr>
              <w:spacing w:before="20" w:after="20" w:line="240" w:lineRule="auto"/>
              <w:jc w:val="left"/>
            </w:pPr>
            <w:r>
              <w:rPr>
                <w:rFonts w:ascii="Times New Roman" w:eastAsia="SimSun" w:hAnsi="Times New Roman"/>
                <w:sz w:val="21"/>
              </w:rPr>
              <w:t xml:space="preserve">工程师真实复核记录，与管理预案对接及历史回溯</w:t>
            </w:r>
          </w:p>
        </w:tc>
      </w:tr>
    </w:tbl>
    <w:p>
      <w:pPr>
        <w:spacing w:after="0" w:line="360" w:lineRule="auto"/>
        <w:ind w:firstLine="480"/>
        <w:jc w:val="both"/>
      </w:pPr>
      <w:r>
        <w:rPr>
          <w:rFonts w:ascii="Times New Roman" w:eastAsia="SimSun" w:hAnsi="Times New Roman"/>
          <w:sz w:val="24"/>
        </w:rPr>
        <w:t xml:space="preserve">还应指出，生成器的严重度构造与规则链硬门控存在对齐，混合策略的部分优势可能来自基准结构；序数下限的保护以规则链为条件，规则链整体漏判的关键状态会传给混合策略。检验错误互补性能否在生成器之外成立，需要带独立标签、时间记录和空间配准的现场数据。</w:t>
      </w:r>
    </w:p>
    <w:p>
      <w:pPr>
        <w:keepNext/>
        <w:spacing w:before="240" w:after="120" w:line="360" w:lineRule="auto"/>
      </w:pPr>
      <w:r>
        <w:rPr>
          <w:rFonts w:ascii="Times New Roman" w:eastAsia="SimHei" w:hAnsi="Times New Roman"/>
          <w:b/>
          <w:sz w:val="24"/>
        </w:rPr>
        <w:t xml:space="preserve">5.9  本章小结</w:t>
      </w:r>
    </w:p>
    <w:p>
      <w:pPr>
        <w:spacing w:after="0" w:line="360" w:lineRule="auto"/>
        <w:ind w:firstLine="480"/>
        <w:jc w:val="both"/>
      </w:pPr>
      <w:r>
        <w:rPr>
          <w:rFonts w:ascii="Times New Roman" w:eastAsia="SimSun" w:hAnsi="Times New Roman"/>
          <w:sz w:val="24"/>
        </w:rPr>
        <w:t xml:space="preserve">本章围绕第二个关键科学问题，建立了融合渗流机理与空基巡检病害信息的堤防渗流安全透明评价方法，主要结论如下。</w:t>
      </w:r>
    </w:p>
    <w:p>
      <w:pPr>
        <w:spacing w:after="0" w:line="360" w:lineRule="auto"/>
        <w:ind w:firstLine="480"/>
        <w:jc w:val="both"/>
      </w:pPr>
      <w:r>
        <w:rPr>
          <w:rFonts w:ascii="Times New Roman" w:eastAsia="SimSun" w:hAnsi="Times New Roman"/>
          <w:sz w:val="24"/>
        </w:rPr>
        <w:t xml:space="preserve">（1）以四元组评价单元、五种证据状态和可采纳性门控组织五类证据，使缺失、不适用、候选和误报在评分前即被区分；现场9个复核候选全部为误报（精度上界0.28），巡检候选只能生成复核任务。</w:t>
      </w:r>
    </w:p>
    <w:p>
      <w:pPr>
        <w:spacing w:after="0" w:line="360" w:lineRule="auto"/>
        <w:ind w:firstLine="480"/>
        <w:jc w:val="both"/>
      </w:pPr>
      <w:r>
        <w:rPr>
          <w:rFonts w:ascii="Times New Roman" w:eastAsia="SimSun" w:hAnsi="Times New Roman"/>
          <w:sz w:val="24"/>
        </w:rPr>
        <w:t xml:space="preserve">（2）提出桩号区间关联与历史快照的配准挂载规则，修正C3量化方式，并建立机理—观测冲突处理规则。</w:t>
      </w:r>
    </w:p>
    <w:p>
      <w:pPr>
        <w:spacing w:after="0" w:line="360" w:lineRule="auto"/>
        <w:ind w:firstLine="480"/>
        <w:jc w:val="both"/>
      </w:pPr>
      <w:r>
        <w:rPr>
          <w:rFonts w:ascii="Times New Roman" w:eastAsia="SimSun" w:hAnsi="Times New Roman"/>
          <w:sz w:val="24"/>
        </w:rPr>
        <w:t xml:space="preserve">（3）构建物理规则链、随机森林决策层与序数物理下限组成的动态评价模型，混合策略仅在两部分同时低估时低估；在875条受控记录上其准确率0.926、C类召回率1.000、安全损失0，不引入新错误，5个附加批次上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w:t>
      </w:r>
    </w:p>
    <w:p>
      <w:pPr>
        <w:spacing w:after="0" w:line="360" w:lineRule="auto"/>
        <w:ind w:firstLine="480"/>
        <w:jc w:val="both"/>
      </w:pPr>
      <w:r>
        <w:rPr>
          <w:rFonts w:ascii="Times New Roman" w:eastAsia="SimSun" w:hAnsi="Times New Roman"/>
          <w:sz w:val="24"/>
        </w:rPr>
        <w:t xml:space="preserve">（4）建立含4051个候选策略、四维目标、两套声明约束和词典序选择的多目标评价体系。加入序数下限后策略族超体积由0.42—0.59升至0.73—0.88；物理下限约束下选出的堆叠RF+序数下限迁移准确率为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9</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，不受约束的最优策略需每批下调50个规则等级，该代价单独报告、留待现场检验。</w:t>
      </w:r>
    </w:p>
    <w:p>
      <w:pPr>
        <w:spacing w:after="0" w:line="360" w:lineRule="auto"/>
        <w:ind w:firstLine="480"/>
        <w:jc w:val="both"/>
      </w:pPr>
      <w:r>
        <w:rPr>
          <w:rFonts w:ascii="Times New Roman" w:eastAsia="SimSun" w:hAnsi="Times New Roman"/>
          <w:sz w:val="24"/>
        </w:rPr>
        <w:t xml:space="preserve">（5）提出与证据充分性挂钩的三级预警建议。上述定量结论均来自受控合成生成器，检测精度、配准精度、阈值标定与现场泛化能力仍需在第6章示范工程和独立现场数据中检验。</w:t>
      </w:r>
    </w:p>
    <w:p>
      <w:pPr>
        <w:keepNext/>
        <w:spacing w:before="360"/>
      </w:pPr>
      <w:r>
        <w:rPr>
          <w:rFonts w:ascii="Times New Roman" w:eastAsia="SimHei" w:hAnsi="Times New Roman"/>
          <w:b/>
          <w:sz w:val="24"/>
        </w:rPr>
        <w:t xml:space="preserve">本章参考文献</w:t>
      </w:r>
    </w:p>
    <w:p>
      <w:pPr>
        <w:spacing w:after="0" w:line="360" w:lineRule="auto"/>
        <w:ind w:left="420" w:hanging="420"/>
        <w:jc w:val="both"/>
      </w:pPr>
      <w:r>
        <w:rPr>
          <w:rFonts w:ascii="Times New Roman" w:eastAsia="SimSun" w:hAnsi="Times New Roman"/>
          <w:sz w:val="21"/>
        </w:rPr>
        <w:t xml:space="preserve">[192] FOSTER M, FELL R, SPANNAGLE M. The statistics of embankment dam failures and accidents[J]. Canadian Geotechnical Journal, 2000, 37(5): 1000-1024.</w:t>
      </w:r>
    </w:p>
    <w:p>
      <w:pPr>
        <w:spacing w:after="0" w:line="360" w:lineRule="auto"/>
        <w:ind w:left="420" w:hanging="420"/>
        <w:jc w:val="both"/>
      </w:pPr>
      <w:r>
        <w:rPr>
          <w:rFonts w:ascii="Times New Roman" w:eastAsia="SimSun" w:hAnsi="Times New Roman"/>
          <w:sz w:val="21"/>
        </w:rPr>
        <w:t xml:space="preserve">[193] VAN BEEK V M, VAN ESSEN H M, VANDENBOER K, et al. Developments in modelling of backward erosion piping[J]. Géotechnique, 2015, 65(9): 740-754.</w:t>
      </w:r>
    </w:p>
    <w:p>
      <w:pPr>
        <w:spacing w:after="0" w:line="360" w:lineRule="auto"/>
        <w:ind w:left="420" w:hanging="420"/>
        <w:jc w:val="both"/>
      </w:pPr>
      <w:r>
        <w:rPr>
          <w:rFonts w:ascii="Times New Roman" w:eastAsia="SimSun" w:hAnsi="Times New Roman"/>
          <w:sz w:val="21"/>
        </w:rPr>
        <w:t xml:space="preserve">[194] DIAKOULAKI D, MAVROTAS G, PAPAYANNAKIS L. Determining objective weights in multiple criteria problems: the CRITIC method[J]. Computers &amp; Operations Research, 1995, 22(7): 763-770.</w:t>
      </w:r>
    </w:p>
    <w:p>
      <w:pPr>
        <w:spacing w:after="0" w:line="360" w:lineRule="auto"/>
        <w:ind w:left="420" w:hanging="420"/>
        <w:jc w:val="both"/>
      </w:pPr>
      <w:r>
        <w:rPr>
          <w:rFonts w:ascii="Times New Roman" w:eastAsia="SimSun" w:hAnsi="Times New Roman"/>
          <w:sz w:val="21"/>
        </w:rPr>
        <w:t xml:space="preserve">[195] MOREAU L, MISSIER P. PROV-DM: the PROV data model[EB/OL]. W3C Recommendation, 2013-04-30[2026-10-07]. https://www.w3.org/TR/2013/REC-prov-dm-20130430/.</w:t>
      </w:r>
    </w:p>
    <w:p>
      <w:pPr>
        <w:spacing w:after="0" w:line="360" w:lineRule="auto"/>
        <w:ind w:left="420" w:hanging="420"/>
        <w:jc w:val="both"/>
      </w:pPr>
      <w:r>
        <w:rPr>
          <w:rFonts w:ascii="Times New Roman" w:eastAsia="SimSun" w:hAnsi="Times New Roman"/>
          <w:sz w:val="21"/>
        </w:rPr>
        <w:t xml:space="preserve">[196] CLOPPER C J, PEARSON E S. The use of confidence or fiducial limits illustrated in the case of the binomial[J]. Biometrika, 1934, 26(4): 404-413.</w:t>
      </w:r>
    </w:p>
    <w:p>
      <w:pPr>
        <w:spacing w:after="0" w:line="360" w:lineRule="auto"/>
        <w:ind w:left="420" w:hanging="420"/>
        <w:jc w:val="both"/>
      </w:pPr>
      <w:r>
        <w:rPr>
          <w:rFonts w:ascii="Times New Roman" w:eastAsia="SimSun" w:hAnsi="Times New Roman"/>
          <w:sz w:val="21"/>
        </w:rPr>
        <w:t xml:space="preserve">[197] TERZAGHI K. Theoretical soil mechanics[M]. New York: John Wiley &amp; Sons, 1943.</w:t>
      </w:r>
    </w:p>
    <w:p>
      <w:pPr>
        <w:spacing w:after="0" w:line="360" w:lineRule="auto"/>
        <w:ind w:left="420" w:hanging="420"/>
        <w:jc w:val="both"/>
      </w:pPr>
      <w:r>
        <w:rPr>
          <w:rFonts w:ascii="Times New Roman" w:eastAsia="SimSun" w:hAnsi="Times New Roman"/>
          <w:sz w:val="21"/>
        </w:rPr>
        <w:t xml:space="preserve">[198] HASTIE T, TIBSHIRANI R, FRIEDMAN J. The elements of statistical learning[M]. 2nd ed. New York: Springer, 2009.</w:t>
      </w:r>
    </w:p>
    <w:p>
      <w:pPr>
        <w:spacing w:after="0" w:line="360" w:lineRule="auto"/>
        <w:ind w:left="420" w:hanging="420"/>
        <w:jc w:val="both"/>
      </w:pPr>
      <w:r>
        <w:rPr>
          <w:rFonts w:ascii="Times New Roman" w:eastAsia="SimSun" w:hAnsi="Times New Roman"/>
          <w:sz w:val="21"/>
        </w:rPr>
        <w:t xml:space="preserve">[199] BREIMAN L. Random forests[J]. Machine Learning, 2001, 45(1): 5-32.</w:t>
      </w:r>
    </w:p>
    <w:p>
      <w:pPr>
        <w:spacing w:after="0" w:line="360" w:lineRule="auto"/>
        <w:ind w:left="420" w:hanging="420"/>
        <w:jc w:val="both"/>
      </w:pPr>
      <w:r>
        <w:rPr>
          <w:rFonts w:ascii="Times New Roman" w:eastAsia="SimSun" w:hAnsi="Times New Roman"/>
          <w:sz w:val="21"/>
        </w:rPr>
        <w:t xml:space="preserve">[200] KAUFMAN S, ROSSET S, PERLICH C, et al. Leakage in data mining: formulation, detection, and avoidance[J]. ACM Transactions on Knowledge Discovery from Data, 2012, 6(4): 15.</w:t>
      </w:r>
    </w:p>
    <w:p>
      <w:pPr>
        <w:spacing w:after="0" w:line="360" w:lineRule="auto"/>
        <w:ind w:left="420" w:hanging="420"/>
        <w:jc w:val="both"/>
      </w:pPr>
      <w:r>
        <w:rPr>
          <w:rFonts w:ascii="Times New Roman" w:eastAsia="SimSun" w:hAnsi="Times New Roman"/>
          <w:sz w:val="21"/>
        </w:rPr>
        <w:t xml:space="preserve">[201] ELKAN C. The foundations of cost-sensitive learning[C]//Proceedings of the 17th International Joint Conference on Artificial Intelligence. Seattle: Morgan Kaufmann, 2001: 973-978.</w:t>
      </w:r>
    </w:p>
    <w:p>
      <w:pPr>
        <w:spacing w:after="0" w:line="360" w:lineRule="auto"/>
        <w:ind w:left="420" w:hanging="420"/>
        <w:jc w:val="both"/>
      </w:pPr>
      <w:r>
        <w:rPr>
          <w:rFonts w:ascii="Times New Roman" w:eastAsia="SimSun" w:hAnsi="Times New Roman"/>
          <w:sz w:val="21"/>
        </w:rPr>
        <w:t xml:space="preserve">[202] KARPATNE A, ATLURI G, FAGHMOUS J H, et al. Theory-guided data science: a new paradigm for scientific discovery from data[J]. IEEE Transactions on Knowledge and Data Engineering, 2017, 29(10): 2318-2331.</w:t>
      </w:r>
    </w:p>
    <w:p>
      <w:pPr>
        <w:spacing w:after="0" w:line="360" w:lineRule="auto"/>
        <w:ind w:left="420" w:hanging="420"/>
        <w:jc w:val="both"/>
      </w:pPr>
      <w:r>
        <w:rPr>
          <w:rFonts w:ascii="Times New Roman" w:eastAsia="SimSun" w:hAnsi="Times New Roman"/>
          <w:sz w:val="21"/>
        </w:rPr>
        <w:t xml:space="preserve">[203] CHOW C K. On optimum recognition error and reject tradeoff[J]. IEEE Transactions on Information Theory, 1970, 16(1): 41-46.</w:t>
      </w:r>
    </w:p>
    <w:p>
      <w:pPr>
        <w:spacing w:after="0" w:line="360" w:lineRule="auto"/>
        <w:ind w:left="420" w:hanging="420"/>
        <w:jc w:val="both"/>
      </w:pPr>
      <w:r>
        <w:rPr>
          <w:rFonts w:ascii="Times New Roman" w:eastAsia="SimSun" w:hAnsi="Times New Roman"/>
          <w:sz w:val="21"/>
        </w:rPr>
        <w:t xml:space="preserve">[204] GEIFMAN Y, EL-YANIV R. Selective classification for deep neural networks[C]//Advances in Neural Information Processing Systems 30. Long Beach: Curran Associates, 2017: 4878-4887.</w:t>
      </w:r>
    </w:p>
    <w:p>
      <w:pPr>
        <w:spacing w:after="0" w:line="360" w:lineRule="auto"/>
        <w:ind w:left="420" w:hanging="420"/>
        <w:jc w:val="both"/>
      </w:pPr>
      <w:r>
        <w:rPr>
          <w:rFonts w:ascii="Times New Roman" w:eastAsia="SimSun" w:hAnsi="Times New Roman"/>
          <w:sz w:val="21"/>
        </w:rPr>
        <w:t xml:space="preserve">[205] FRANK E, HALL M. A simple approach to ordinal classification[C]//Proceedings of the 12th European Conference on Machine Learning. Berlin: Springer, 2001: 145-156.</w:t>
      </w:r>
    </w:p>
    <w:p>
      <w:pPr>
        <w:spacing w:after="0" w:line="360" w:lineRule="auto"/>
        <w:ind w:left="420" w:hanging="420"/>
        <w:jc w:val="both"/>
      </w:pPr>
      <w:r>
        <w:rPr>
          <w:rFonts w:ascii="Times New Roman" w:eastAsia="SimSun" w:hAnsi="Times New Roman"/>
          <w:sz w:val="21"/>
        </w:rPr>
        <w:t xml:space="preserve">[206] CORTES C, VAPNIK V. Support-vector networks[J]. Machine Learning, 1995, 20(3): 273-297.</w:t>
      </w:r>
    </w:p>
    <w:p>
      <w:pPr>
        <w:spacing w:after="0" w:line="360" w:lineRule="auto"/>
        <w:ind w:left="420" w:hanging="420"/>
        <w:jc w:val="both"/>
      </w:pPr>
      <w:r>
        <w:rPr>
          <w:rFonts w:ascii="Times New Roman" w:eastAsia="SimSun" w:hAnsi="Times New Roman"/>
          <w:sz w:val="21"/>
        </w:rPr>
        <w:t xml:space="preserve">[207] FRIEDMAN J H. Greedy function approximation: a gradient boosting machine[J]. The Annals of Statistics, 2001, 29(5): 1189-1232.</w:t>
      </w:r>
    </w:p>
    <w:p>
      <w:pPr>
        <w:spacing w:after="0" w:line="360" w:lineRule="auto"/>
        <w:ind w:left="420" w:hanging="420"/>
        <w:jc w:val="both"/>
      </w:pPr>
      <w:r>
        <w:rPr>
          <w:rFonts w:ascii="Times New Roman" w:eastAsia="SimSun" w:hAnsi="Times New Roman"/>
          <w:sz w:val="21"/>
        </w:rPr>
        <w:t xml:space="preserve">[208] WOLPERT D H. Stacked generalization[J]. Neural Networks, 1992, 5(2): 241-259.</w:t>
      </w:r>
    </w:p>
    <w:p>
      <w:pPr>
        <w:spacing w:after="0" w:line="360" w:lineRule="auto"/>
        <w:ind w:left="420" w:hanging="420"/>
        <w:jc w:val="both"/>
      </w:pPr>
      <w:r>
        <w:rPr>
          <w:rFonts w:ascii="Times New Roman" w:eastAsia="SimSun" w:hAnsi="Times New Roman"/>
          <w:sz w:val="21"/>
        </w:rPr>
        <w:t xml:space="preserve">[209] ZITZLER E, THIELE L, LAUMANNS M, et al. Performance assessment of multiobjective optimizers: an analysis and review[J]. IEEE Transactions on Evolutionary Computation, 2003, 7(2): 117-132.</w:t>
      </w:r>
    </w:p>
    <w:p>
      <w:pPr>
        <w:spacing w:after="0" w:line="360" w:lineRule="auto"/>
        <w:ind w:left="420" w:hanging="420"/>
        <w:jc w:val="both"/>
      </w:pPr>
      <w:r>
        <w:rPr>
          <w:rFonts w:ascii="Times New Roman" w:eastAsia="SimSun" w:hAnsi="Times New Roman"/>
          <w:sz w:val="21"/>
        </w:rPr>
        <w:t xml:space="preserve">[210] McNEMAR Q. Note on the sampling error of the difference between correlated proportions or percentages[J]. Psychometrika, 1947, 12(2): 153-157.</w:t>
      </w:r>
    </w:p>
    <w:p>
      <w:pPr>
        <w:spacing w:after="0" w:line="360" w:lineRule="auto"/>
        <w:ind w:left="420" w:hanging="420"/>
        <w:jc w:val="both"/>
      </w:pPr>
      <w:r>
        <w:rPr>
          <w:rFonts w:ascii="Times New Roman" w:eastAsia="SimSun" w:hAnsi="Times New Roman"/>
          <w:sz w:val="21"/>
        </w:rPr>
        <w:t xml:space="preserve">[211] EFRON B, TIBSHIRANI R J. An introduction to the bootstrap[M]. New York: Chapman &amp; Hall, 1993.</w:t>
      </w:r>
    </w:p>
    <w:sectPr>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3435F"/>
    <w:rsid w:val="00AA1D8D"/>
    <w:rsid w:val="00AD3BF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D4852E9-47FF-4BBB-9033-355C32318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10" Type="http://schemas.openxmlformats.org/officeDocument/2006/relationships/fontTable" Target="fontTable.xml"/><Relationship Id="rId11" Type="http://schemas.openxmlformats.org/officeDocument/2006/relationships/theme" Target="theme/theme1.xml"/><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DF922C-31AA-43B5-9EFA-42DBCFCBC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第5章 融合渗流机理与空基巡检病害信息的堤防渗流安全透明评价</dc:title>
  <dc:creator/>
  <cp:lastModifiedBy/>
  <cp:revision>1</cp:revision>
  <dcterms:created xsi:type="dcterms:W3CDTF">2026-10-07T10:59:37Z</dcterms:created>
  <dcterms:modified xsi:type="dcterms:W3CDTF">2026-10-07T10:59:37Z</dcterms:modified>
</cp:coreProperties>
</file>