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800" w:after="0"/>
        <w:jc w:val="center"/>
        <w:rPr/>
      </w:pPr>
      <w:r>
        <w:rPr>
          <w:rFonts w:eastAsia="Calibri" w:cs="Calibri"/>
          <w:b/>
          <w:bCs/>
          <w:color w:val="002395"/>
          <w:sz w:val="56"/>
          <w:szCs w:val="56"/>
        </w:rPr>
        <w:t>PROJET 3-ÉTOILES</w:t>
      </w:r>
    </w:p>
    <w:p>
      <w:pPr>
        <w:pStyle w:val="Normal"/>
        <w:spacing w:before="120" w:after="0"/>
        <w:jc w:val="center"/>
        <w:rPr/>
      </w:pPr>
      <w:r>
        <w:rPr>
          <w:rFonts w:eastAsia="Calibri" w:cs="Calibri"/>
          <w:color w:val="1A1A2E"/>
          <w:sz w:val="34"/>
          <w:szCs w:val="34"/>
        </w:rPr>
        <w:t>Cahier des charges des features Gold</w:t>
      </w:r>
    </w:p>
    <w:p>
      <w:pPr>
        <w:pStyle w:val="Normal"/>
        <w:spacing w:before="120" w:after="0"/>
        <w:jc w:val="center"/>
        <w:rPr/>
      </w:pPr>
      <w:r>
        <w:rPr>
          <w:rFonts w:eastAsia="Calibri" w:cs="Calibri"/>
          <w:i/>
          <w:iCs/>
          <w:color w:val="555555"/>
          <w:sz w:val="24"/>
          <w:szCs w:val="24"/>
        </w:rPr>
        <w:t>Spécification fonctionnelle — sans code</w:t>
      </w:r>
    </w:p>
    <w:p>
      <w:pPr>
        <w:pStyle w:val="Normal"/>
        <w:spacing w:before="600" w:after="0"/>
        <w:jc w:val="center"/>
        <w:rPr/>
      </w:pPr>
      <w:r>
        <w:rPr>
          <w:rFonts w:eastAsia="Calibri" w:cs="Calibri"/>
          <w:color w:val="555555"/>
          <w:sz w:val="20"/>
          <w:szCs w:val="20"/>
        </w:rPr>
        <w:t>Document d'interface entre la conception (cette session) et l'implémentation (session de code à venir)</w:t>
      </w:r>
    </w:p>
    <w:p>
      <w:pPr>
        <w:pStyle w:val="Normal"/>
        <w:rPr/>
      </w:pPr>
      <w:r>
        <w:rPr/>
      </w:r>
      <w:r>
        <w:br w:type="page"/>
      </w:r>
    </w:p>
    <w:p>
      <w:pPr>
        <w:pStyle w:val="Heading1"/>
        <w:spacing w:before="360" w:after="160"/>
        <w:rPr/>
      </w:pPr>
      <w:r>
        <w:rPr>
          <w:rFonts w:eastAsia="Calibri" w:cs="Calibri" w:ascii="Calibri" w:hAnsi="Calibri"/>
          <w:b/>
          <w:bCs/>
          <w:color w:val="002395"/>
          <w:sz w:val="30"/>
          <w:szCs w:val="30"/>
        </w:rPr>
        <w:t>Sommaire</w:t>
      </w:r>
    </w:p>
    <w:p>
      <w:pPr>
        <w:sectPr>
          <w:type w:val="nextPage"/>
          <w:pgSz w:w="11906" w:h="16838"/>
          <w:pgMar w:left="1100" w:right="1100" w:header="0" w:top="1000" w:footer="0" w:bottom="1000" w:gutter="0"/>
          <w:pgNumType w:fmt="decimal"/>
          <w:formProt w:val="false"/>
          <w:textDirection w:val="lrTb"/>
          <w:docGrid w:type="default" w:linePitch="360" w:charSpace="6143"/>
        </w:sectPr>
      </w:pPr>
    </w:p>
    <w:p>
      <w:pPr>
        <w:pStyle w:val="Heading1"/>
        <w:spacing w:before="360" w:after="160"/>
        <w:rPr>
          <w:rFonts w:ascii="Calibri" w:hAnsi="Calibri" w:eastAsia="Calibri" w:cs="Calibri"/>
          <w:b/>
          <w:b/>
          <w:bCs/>
          <w:color w:val="002395"/>
          <w:sz w:val="30"/>
          <w:szCs w:val="30"/>
        </w:rPr>
      </w:pPr>
      <w:r>
        <w:rPr/>
      </w:r>
    </w:p>
    <w:sdt>
      <w:sdtPr>
        <w:docPartObj>
          <w:docPartGallery w:val="Table of Contents"/>
          <w:docPartUnique w:val="true"/>
        </w:docPartObj>
      </w:sdtPr>
      <w:sdtContent>
        <w:p>
          <w:pPr>
            <w:pStyle w:val="Normal"/>
            <w:rPr/>
          </w:pPr>
          <w:r>
            <w:fldChar w:fldCharType="begin"/>
          </w:r>
          <w:r>
            <w:rPr/>
            <w:instrText> TOC \o "1-1" </w:instrText>
          </w:r>
          <w:r>
            <w:rPr/>
            <w:fldChar w:fldCharType="separate"/>
          </w:r>
          <w:r>
            <w:rPr/>
          </w:r>
          <w:r>
            <w:rPr/>
            <w:fldChar w:fldCharType="end"/>
          </w:r>
        </w:p>
        <w:p>
          <w:pPr>
            <w:sectPr>
              <w:type w:val="continuous"/>
              <w:pgSz w:w="11906" w:h="16838"/>
              <w:pgMar w:left="1100" w:right="1100" w:header="0" w:top="1000" w:footer="0" w:bottom="1000" w:gutter="0"/>
              <w:formProt w:val="false"/>
              <w:textDirection w:val="lrTb"/>
              <w:docGrid w:type="default" w:linePitch="360" w:charSpace="6143"/>
            </w:sectPr>
          </w:pPr>
        </w:p>
      </w:sdtContent>
    </w:sdt>
    <w:p>
      <w:pPr>
        <w:pStyle w:val="Normal"/>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0. Objet du document et mode d'emploi</w:t>
      </w:r>
    </w:p>
    <w:p>
      <w:pPr>
        <w:pStyle w:val="Normal"/>
        <w:spacing w:before="0" w:after="120"/>
        <w:rPr/>
      </w:pPr>
      <w:r>
        <w:rPr>
          <w:rFonts w:eastAsia="Calibri" w:cs="Calibri"/>
          <w:color w:val="555555"/>
          <w:sz w:val="21"/>
          <w:szCs w:val="21"/>
        </w:rPr>
        <w:t>Ce document spécifie les features de la couche Gold du Projet 3-Étoiles. Il définit CE QUE chaque feature représente, à partir de QUELLES sources, avec QUELLE fenêtre temporelle et QUELLES contraintes — jamais COMMENT l'implémenter. Il joue le rôle d'un dictionnaire de signaux : la session de code qui suivra en dérive l'implémentation sans réinterpréter les choix de conception.</w:t>
      </w:r>
    </w:p>
    <w:p>
      <w:pPr>
        <w:pStyle w:val="Normal"/>
        <w:spacing w:before="0" w:after="120"/>
        <w:rPr/>
      </w:pPr>
      <w:r>
        <w:rPr>
          <w:rFonts w:eastAsia="Calibri" w:cs="Calibri"/>
          <w:color w:val="555555"/>
          <w:sz w:val="21"/>
          <w:szCs w:val="21"/>
        </w:rPr>
        <w:t>Il découle d'une décision d'architecture actée : on ne modélise pas des duels joueur-contre-joueur (données trop rares et bruitées), mais des PROFILS de joueurs — offensifs et défensifs, par zone — confrontés PAR ZONE une fois les compositions connues. Le clustering de joueurs sert uniquement à imputer les profils manquants, jamais comme entrée directe par défaut.</w:t>
      </w:r>
    </w:p>
    <w:p>
      <w:pPr>
        <w:pStyle w:val="Normal"/>
        <w:spacing w:before="0" w:after="120"/>
        <w:rPr/>
      </w:pPr>
      <w:r>
        <w:rPr>
          <w:rFonts w:eastAsia="Calibri" w:cs="Calibri"/>
          <w:color w:val="555555"/>
          <w:sz w:val="21"/>
          <w:szCs w:val="21"/>
        </w:rPr>
        <w:t>Chaque modèle a sa propre granularité : 1N2, Buts et Événements travaillent au niveau match ; Buteurs au niveau joueur. Les familles sont partagées, chaque modèle pioche ce dont il a besoin (champ « Modèles consommateurs »).</w:t>
      </w:r>
    </w:p>
    <w:p>
      <w:pPr>
        <w:pStyle w:val="Heading2"/>
        <w:spacing w:before="260" w:after="120"/>
        <w:rPr/>
      </w:pPr>
      <w:r>
        <w:rPr>
          <w:rFonts w:eastAsia="Calibri" w:cs="Calibri" w:ascii="Calibri" w:hAnsi="Calibri"/>
          <w:b/>
          <w:bCs/>
          <w:color w:val="1A1A2E"/>
          <w:sz w:val="26"/>
          <w:szCs w:val="26"/>
        </w:rPr>
        <w:t>Gabarit d'une feature</w:t>
      </w:r>
    </w:p>
    <w:p>
      <w:pPr>
        <w:pStyle w:val="Normal"/>
        <w:spacing w:before="0" w:after="120"/>
        <w:rPr/>
      </w:pPr>
      <w:r>
        <w:rPr>
          <w:rFonts w:eastAsia="Calibri" w:cs="Calibri"/>
          <w:color w:val="1A1A2E"/>
          <w:sz w:val="21"/>
          <w:szCs w:val="21"/>
        </w:rPr>
        <w:t>Chaque feature est spécifiée par les champs suivants :</w:t>
      </w:r>
    </w:p>
    <w:p>
      <w:pPr>
        <w:pStyle w:val="ListParagraph"/>
        <w:numPr>
          <w:ilvl w:val="0"/>
          <w:numId w:val="1"/>
        </w:numPr>
        <w:spacing w:before="0" w:after="80"/>
        <w:rPr/>
      </w:pPr>
      <w:r>
        <w:rPr>
          <w:rFonts w:eastAsia="Calibri" w:cs="Calibri"/>
          <w:b/>
          <w:bCs/>
          <w:color w:val="1A1A2E"/>
          <w:sz w:val="21"/>
          <w:szCs w:val="21"/>
        </w:rPr>
        <w:t xml:space="preserve">Nom canonique — </w:t>
      </w:r>
      <w:r>
        <w:rPr>
          <w:rFonts w:eastAsia="Calibri" w:cs="Calibri"/>
          <w:color w:val="1A1A2E"/>
          <w:sz w:val="21"/>
          <w:szCs w:val="21"/>
        </w:rPr>
        <w:t>Identifiant machine de la feature (snake_case), unique dans tout le document.</w:t>
      </w:r>
    </w:p>
    <w:p>
      <w:pPr>
        <w:pStyle w:val="ListParagraph"/>
        <w:numPr>
          <w:ilvl w:val="0"/>
          <w:numId w:val="1"/>
        </w:numPr>
        <w:spacing w:before="0" w:after="80"/>
        <w:rPr/>
      </w:pPr>
      <w:r>
        <w:rPr>
          <w:rFonts w:eastAsia="Calibri" w:cs="Calibri"/>
          <w:b/>
          <w:bCs/>
          <w:color w:val="1A1A2E"/>
          <w:sz w:val="21"/>
          <w:szCs w:val="21"/>
        </w:rPr>
        <w:t xml:space="preserve">Groupe / Famille — </w:t>
      </w:r>
      <w:r>
        <w:rPr>
          <w:rFonts w:eastAsia="Calibri" w:cs="Calibri"/>
          <w:color w:val="1A1A2E"/>
          <w:sz w:val="21"/>
          <w:szCs w:val="21"/>
        </w:rPr>
        <w:t>Famille fonctionnelle d'appartenance (1 à 11).</w:t>
      </w:r>
    </w:p>
    <w:p>
      <w:pPr>
        <w:pStyle w:val="ListParagraph"/>
        <w:numPr>
          <w:ilvl w:val="0"/>
          <w:numId w:val="1"/>
        </w:numPr>
        <w:spacing w:before="0" w:after="80"/>
        <w:rPr/>
      </w:pPr>
      <w:r>
        <w:rPr>
          <w:rFonts w:eastAsia="Calibri" w:cs="Calibri"/>
          <w:b/>
          <w:bCs/>
          <w:color w:val="1A1A2E"/>
          <w:sz w:val="21"/>
          <w:szCs w:val="21"/>
        </w:rPr>
        <w:t xml:space="preserve">Grain — </w:t>
      </w:r>
      <w:r>
        <w:rPr>
          <w:rFonts w:eastAsia="Calibri" w:cs="Calibri"/>
          <w:color w:val="1A1A2E"/>
          <w:sz w:val="21"/>
          <w:szCs w:val="21"/>
        </w:rPr>
        <w:t>Niveau auquel vit la feature : équipe-match, joueur-saison, joueur-zone-saison, zone-confrontation-match, etc. Détermine la clé primaire de la table Gold porteuse.</w:t>
      </w:r>
    </w:p>
    <w:p>
      <w:pPr>
        <w:pStyle w:val="ListParagraph"/>
        <w:numPr>
          <w:ilvl w:val="0"/>
          <w:numId w:val="1"/>
        </w:numPr>
        <w:spacing w:before="0" w:after="80"/>
        <w:rPr/>
      </w:pPr>
      <w:r>
        <w:rPr>
          <w:rFonts w:eastAsia="Calibri" w:cs="Calibri"/>
          <w:b/>
          <w:bCs/>
          <w:color w:val="1A1A2E"/>
          <w:sz w:val="21"/>
          <w:szCs w:val="21"/>
        </w:rPr>
        <w:t xml:space="preserve">Définition sémantique — </w:t>
      </w:r>
      <w:r>
        <w:rPr>
          <w:rFonts w:eastAsia="Calibri" w:cs="Calibri"/>
          <w:color w:val="1A1A2E"/>
          <w:sz w:val="21"/>
          <w:szCs w:val="21"/>
        </w:rPr>
        <w:t>Ce que la feature représente, en langage naturel, sans dire comment on la calcule.</w:t>
      </w:r>
    </w:p>
    <w:p>
      <w:pPr>
        <w:pStyle w:val="ListParagraph"/>
        <w:numPr>
          <w:ilvl w:val="0"/>
          <w:numId w:val="1"/>
        </w:numPr>
        <w:spacing w:before="0" w:after="80"/>
        <w:rPr/>
      </w:pPr>
      <w:r>
        <w:rPr>
          <w:rFonts w:eastAsia="Calibri" w:cs="Calibri"/>
          <w:b/>
          <w:bCs/>
          <w:color w:val="1A1A2E"/>
          <w:sz w:val="21"/>
          <w:szCs w:val="21"/>
        </w:rPr>
        <w:t xml:space="preserve">Sources — </w:t>
      </w:r>
      <w:r>
        <w:rPr>
          <w:rFonts w:eastAsia="Calibri" w:cs="Calibri"/>
          <w:color w:val="1A1A2E"/>
          <w:sz w:val="21"/>
          <w:szCs w:val="21"/>
        </w:rPr>
        <w:t>Tables intermediate dont dérive la feature (pas de SQL).</w:t>
      </w:r>
    </w:p>
    <w:p>
      <w:pPr>
        <w:pStyle w:val="ListParagraph"/>
        <w:numPr>
          <w:ilvl w:val="0"/>
          <w:numId w:val="1"/>
        </w:numPr>
        <w:spacing w:before="0" w:after="80"/>
        <w:rPr/>
      </w:pPr>
      <w:r>
        <w:rPr>
          <w:rFonts w:eastAsia="Calibri" w:cs="Calibri"/>
          <w:b/>
          <w:bCs/>
          <w:color w:val="1A1A2E"/>
          <w:sz w:val="21"/>
          <w:szCs w:val="21"/>
        </w:rPr>
        <w:t xml:space="preserve">Classe temporelle — </w:t>
      </w:r>
      <w:r>
        <w:rPr>
          <w:rFonts w:eastAsia="Calibri" w:cs="Calibri"/>
          <w:color w:val="1A1A2E"/>
          <w:sz w:val="21"/>
          <w:szCs w:val="21"/>
        </w:rPr>
        <w:t>PRE-MATCH CONNU / ROLLING(N) / SEASON-LAG / H2H-CUTOFF, avec le garde-fou anti-leakage.</w:t>
      </w:r>
    </w:p>
    <w:p>
      <w:pPr>
        <w:pStyle w:val="ListParagraph"/>
        <w:numPr>
          <w:ilvl w:val="0"/>
          <w:numId w:val="1"/>
        </w:numPr>
        <w:spacing w:before="0" w:after="80"/>
        <w:rPr/>
      </w:pPr>
      <w:r>
        <w:rPr>
          <w:rFonts w:eastAsia="Calibri" w:cs="Calibri"/>
          <w:b/>
          <w:bCs/>
          <w:color w:val="1A1A2E"/>
          <w:sz w:val="21"/>
          <w:szCs w:val="21"/>
        </w:rPr>
        <w:t xml:space="preserve">Zone / poste — </w:t>
      </w:r>
      <w:r>
        <w:rPr>
          <w:rFonts w:eastAsia="Calibri" w:cs="Calibri"/>
          <w:color w:val="1A1A2E"/>
          <w:sz w:val="21"/>
          <w:szCs w:val="21"/>
        </w:rPr>
        <w:t>Zone(s) 5×5 concernée(s) quand applicable, ou regroupement déclaré.</w:t>
      </w:r>
    </w:p>
    <w:p>
      <w:pPr>
        <w:pStyle w:val="ListParagraph"/>
        <w:numPr>
          <w:ilvl w:val="0"/>
          <w:numId w:val="1"/>
        </w:numPr>
        <w:spacing w:before="0" w:after="80"/>
        <w:rPr/>
      </w:pPr>
      <w:r>
        <w:rPr>
          <w:rFonts w:eastAsia="Calibri" w:cs="Calibri"/>
          <w:b/>
          <w:bCs/>
          <w:color w:val="1A1A2E"/>
          <w:sz w:val="21"/>
          <w:szCs w:val="21"/>
        </w:rPr>
        <w:t xml:space="preserve">Modèles consommateurs — </w:t>
      </w:r>
      <w:r>
        <w:rPr>
          <w:rFonts w:eastAsia="Calibri" w:cs="Calibri"/>
          <w:color w:val="1A1A2E"/>
          <w:sz w:val="21"/>
          <w:szCs w:val="21"/>
        </w:rPr>
        <w:t>Parmi : 1N2, Buts, Buteurs, Événements.</w:t>
      </w:r>
    </w:p>
    <w:p>
      <w:pPr>
        <w:pStyle w:val="ListParagraph"/>
        <w:numPr>
          <w:ilvl w:val="0"/>
          <w:numId w:val="1"/>
        </w:numPr>
        <w:spacing w:before="0" w:after="80"/>
        <w:rPr/>
      </w:pPr>
      <w:r>
        <w:rPr>
          <w:rFonts w:eastAsia="Calibri" w:cs="Calibri"/>
          <w:b/>
          <w:bCs/>
          <w:color w:val="1A1A2E"/>
          <w:sz w:val="21"/>
          <w:szCs w:val="21"/>
        </w:rPr>
        <w:t xml:space="preserve">Statut — </w:t>
      </w:r>
      <w:r>
        <w:rPr>
          <w:rFonts w:eastAsia="Calibri" w:cs="Calibri"/>
          <w:color w:val="1A1A2E"/>
          <w:sz w:val="21"/>
          <w:szCs w:val="21"/>
        </w:rPr>
        <w:t>EXISTE (colonne présente) / À AGRÉGER (existe au grain événement, à rouler) / À CONSTRUIRE (n'existe nulle part).</w:t>
      </w:r>
    </w:p>
    <w:p>
      <w:pPr>
        <w:pStyle w:val="Heading2"/>
        <w:spacing w:before="260" w:after="120"/>
        <w:rPr/>
      </w:pPr>
      <w:r>
        <w:rPr>
          <w:rFonts w:eastAsia="Calibri" w:cs="Calibri" w:ascii="Calibri" w:hAnsi="Calibri"/>
          <w:b/>
          <w:bCs/>
          <w:color w:val="1A1A2E"/>
          <w:sz w:val="26"/>
          <w:szCs w:val="26"/>
        </w:rPr>
        <w:t>Convention zonale (grille 5×5)</w:t>
      </w:r>
    </w:p>
    <w:p>
      <w:pPr>
        <w:pStyle w:val="ListParagraph"/>
        <w:numPr>
          <w:ilvl w:val="0"/>
          <w:numId w:val="1"/>
        </w:numPr>
        <w:spacing w:before="0" w:after="80"/>
        <w:rPr/>
      </w:pPr>
      <w:r>
        <w:rPr>
          <w:rFonts w:eastAsia="Calibri" w:cs="Calibri"/>
          <w:color w:val="1A1A2E"/>
          <w:sz w:val="21"/>
          <w:szCs w:val="21"/>
        </w:rPr>
        <w:t>Le découpage zonal canonique de tout le document est la grille 5×5 déjà présente dans player_match_stats.</w:t>
      </w:r>
    </w:p>
    <w:p>
      <w:pPr>
        <w:pStyle w:val="ListParagraph"/>
        <w:numPr>
          <w:ilvl w:val="0"/>
          <w:numId w:val="1"/>
        </w:numPr>
        <w:spacing w:before="0" w:after="80"/>
        <w:rPr/>
      </w:pPr>
      <w:r>
        <w:rPr>
          <w:rFonts w:eastAsia="Calibri" w:cs="Calibri"/>
          <w:color w:val="1A1A2E"/>
          <w:sz w:val="21"/>
          <w:szCs w:val="21"/>
        </w:rPr>
        <w:t>Axe longueur (profondeur) : z1 (x 0-20, tiers défensif propre) → z5 (x 80-100, zone offensive), du point de vue de l'équipe qui possède le ballon (x croissant vers le but adverse).</w:t>
      </w:r>
    </w:p>
    <w:p>
      <w:pPr>
        <w:pStyle w:val="ListParagraph"/>
        <w:numPr>
          <w:ilvl w:val="0"/>
          <w:numId w:val="1"/>
        </w:numPr>
        <w:spacing w:before="0" w:after="80"/>
        <w:rPr/>
      </w:pPr>
      <w:r>
        <w:rPr>
          <w:rFonts w:eastAsia="Calibri" w:cs="Calibri"/>
          <w:color w:val="1A1A2E"/>
          <w:sz w:val="21"/>
          <w:szCs w:val="21"/>
        </w:rPr>
        <w:t>Axe largeur (couloir) : c1 (y 0-20) → c5 (y 80-100), c3 = axe central. Les côtés c1/c5 sont les flancs.</w:t>
      </w:r>
    </w:p>
    <w:p>
      <w:pPr>
        <w:pStyle w:val="ListParagraph"/>
        <w:numPr>
          <w:ilvl w:val="0"/>
          <w:numId w:val="1"/>
        </w:numPr>
        <w:spacing w:before="0" w:after="80"/>
        <w:rPr/>
      </w:pPr>
      <w:r>
        <w:rPr>
          <w:rFonts w:eastAsia="Calibri" w:cs="Calibri"/>
          <w:color w:val="1A1A2E"/>
          <w:sz w:val="21"/>
          <w:szCs w:val="21"/>
        </w:rPr>
        <w:t>Regroupements autorisés au cas par cas, à déclarer explicitement dans la feature qui les emploie : COULOIR_GAUCHE = c1+c2, AXE = c3, COULOIR_DROIT = c4+c5 ; TIERS_DEF = z1+z2, TIERS_MED = z3, TIERS_OFF = z4+z5.</w:t>
      </w:r>
    </w:p>
    <w:p>
      <w:pPr>
        <w:pStyle w:val="ListParagraph"/>
        <w:numPr>
          <w:ilvl w:val="0"/>
          <w:numId w:val="1"/>
        </w:numPr>
        <w:spacing w:before="0" w:after="80"/>
        <w:rPr/>
      </w:pPr>
      <w:r>
        <w:rPr>
          <w:rFonts w:eastAsia="Calibri" w:cs="Calibri"/>
          <w:color w:val="1A1A2E"/>
          <w:sz w:val="21"/>
          <w:szCs w:val="21"/>
        </w:rPr>
        <w:t>La grille fine 5×5 reste le référentiel des profils individuels ; les regroupements 3×3 servent surtout aux confrontations zonales pour éviter l'explosion combinatoire.</w:t>
      </w:r>
    </w:p>
    <w:p>
      <w:pPr>
        <w:pStyle w:val="ListParagraph"/>
        <w:numPr>
          <w:ilvl w:val="0"/>
          <w:numId w:val="1"/>
        </w:numPr>
        <w:spacing w:before="0" w:after="80"/>
        <w:rPr/>
      </w:pPr>
      <w:r>
        <w:rPr>
          <w:rFonts w:eastAsia="Calibri" w:cs="Calibri"/>
          <w:color w:val="1A1A2E"/>
          <w:sz w:val="21"/>
          <w:szCs w:val="21"/>
        </w:rPr>
        <w:t>Rappel repère : les coordonnées WhoScored sont toujours encodées du point de vue de l'équipe attaquante. Une action défensive à x faible se déroule près du but que l'équipe défend.</w:t>
      </w:r>
    </w:p>
    <w:p>
      <w:pPr>
        <w:pStyle w:val="Heading2"/>
        <w:spacing w:before="260" w:after="120"/>
        <w:rPr/>
      </w:pPr>
      <w:r>
        <w:rPr>
          <w:rFonts w:eastAsia="Calibri" w:cs="Calibri" w:ascii="Calibri" w:hAnsi="Calibri"/>
          <w:b/>
          <w:bCs/>
          <w:color w:val="1A1A2E"/>
          <w:sz w:val="26"/>
          <w:szCs w:val="26"/>
        </w:rPr>
        <w:t>Conventions temporelles &amp; anti-leakage</w:t>
      </w:r>
    </w:p>
    <w:p>
      <w:pPr>
        <w:pStyle w:val="Normal"/>
        <w:spacing w:before="0" w:after="120"/>
        <w:rPr/>
      </w:pPr>
      <w:r>
        <w:rPr>
          <w:rFonts w:eastAsia="Calibri" w:cs="Calibri"/>
          <w:b/>
          <w:bCs/>
          <w:color w:val="1A1A2E"/>
          <w:sz w:val="21"/>
          <w:szCs w:val="21"/>
        </w:rPr>
        <w:t>Chaque feature déclare une classe temporelle qui garantit l'absence de fuite (leakage) :</w:t>
      </w:r>
    </w:p>
    <w:p>
      <w:pPr>
        <w:pStyle w:val="ListParagraph"/>
        <w:numPr>
          <w:ilvl w:val="0"/>
          <w:numId w:val="1"/>
        </w:numPr>
        <w:spacing w:before="0" w:after="80"/>
        <w:rPr/>
      </w:pPr>
      <w:r>
        <w:rPr>
          <w:rFonts w:eastAsia="Calibri" w:cs="Calibri"/>
          <w:color w:val="1A1A2E"/>
          <w:sz w:val="21"/>
          <w:szCs w:val="21"/>
        </w:rPr>
        <w:t>PRE-MATCH CONNU — donnée disponible avant le coup d'envoi sans aucun calcul sur le match courant (venue, comp_category, composition une fois les compos sorties). Aucun risque de fuite.</w:t>
      </w:r>
    </w:p>
    <w:p>
      <w:pPr>
        <w:pStyle w:val="ListParagraph"/>
        <w:numPr>
          <w:ilvl w:val="0"/>
          <w:numId w:val="1"/>
        </w:numPr>
        <w:spacing w:before="0" w:after="80"/>
        <w:rPr/>
      </w:pPr>
      <w:r>
        <w:rPr>
          <w:rFonts w:eastAsia="Calibri" w:cs="Calibri"/>
          <w:color w:val="1A1A2E"/>
          <w:sz w:val="21"/>
          <w:szCs w:val="21"/>
        </w:rPr>
        <w:t>ROLLING(N) — moyenne / somme / taux glissant sur les N derniers matchs STRICTEMENT antérieurs au match courant. Fenêtre bornée UNBOUNDED PRECEDING AND 1 PRECEDING. Le match courant n'est JAMAIS inclus.</w:t>
      </w:r>
    </w:p>
    <w:p>
      <w:pPr>
        <w:pStyle w:val="ListParagraph"/>
        <w:numPr>
          <w:ilvl w:val="0"/>
          <w:numId w:val="1"/>
        </w:numPr>
        <w:spacing w:before="0" w:after="80"/>
        <w:rPr/>
      </w:pPr>
      <w:r>
        <w:rPr>
          <w:rFonts w:eastAsia="Calibri" w:cs="Calibri"/>
          <w:color w:val="1A1A2E"/>
          <w:sz w:val="21"/>
          <w:szCs w:val="21"/>
        </w:rPr>
        <w:t>SEASON-LAG — statistique de saison décalée : on n'utilise que les saisons précédentes ou la saison en cours arrêtée à la veille du match (LAG). Jamais l'agrégat de saison complète incluant le match courant.</w:t>
      </w:r>
    </w:p>
    <w:p>
      <w:pPr>
        <w:pStyle w:val="ListParagraph"/>
        <w:numPr>
          <w:ilvl w:val="0"/>
          <w:numId w:val="1"/>
        </w:numPr>
        <w:spacing w:before="0" w:after="80"/>
        <w:rPr/>
      </w:pPr>
      <w:r>
        <w:rPr>
          <w:rFonts w:eastAsia="Calibri" w:cs="Calibri"/>
          <w:color w:val="1A1A2E"/>
          <w:sz w:val="21"/>
          <w:szCs w:val="21"/>
        </w:rPr>
        <w:t>H2H-CUTOFF — historique de confrontation directe cumulé avant le match courant (déjà matérialisé dans h2h_history avec cette sémantique).</w:t>
      </w:r>
    </w:p>
    <w:p>
      <w:pPr>
        <w:pStyle w:val="ListParagraph"/>
        <w:numPr>
          <w:ilvl w:val="0"/>
          <w:numId w:val="1"/>
        </w:numPr>
        <w:spacing w:before="0" w:after="80"/>
        <w:rPr/>
      </w:pPr>
      <w:r>
        <w:rPr>
          <w:rFonts w:eastAsia="Calibri" w:cs="Calibri"/>
          <w:color w:val="1A1A2E"/>
          <w:sz w:val="21"/>
          <w:szCs w:val="21"/>
        </w:rPr>
        <w:t>CONTRAINTE ABSOLUE : aucune feature ne peut inclure une information issue du match qu'on cherche à prédire. C'est la règle non négociable qui prime sur toute considération de performance.</w:t>
      </w:r>
    </w:p>
    <w:p>
      <w:pPr>
        <w:pStyle w:val="Normal"/>
        <w:spacing w:before="80" w:after="120"/>
        <w:rPr/>
      </w:pPr>
      <w:r>
        <w:rPr>
          <w:rFonts w:eastAsia="Calibri" w:cs="Calibri"/>
          <w:i/>
          <w:iCs/>
          <w:color w:val="555555"/>
          <w:sz w:val="21"/>
          <w:szCs w:val="21"/>
        </w:rPr>
        <w:t>Sauf indication contraire, les fenêtres rolling standard du projet sont N ∈ {3, 5, 10}. Le choix de la ou des fenêtres retenues par feature est indiqué ; à défaut, produire les trois et laisser la sélection de features trancher.</w:t>
      </w:r>
    </w:p>
    <w:p>
      <w:pPr>
        <w:pStyle w:val="Heading2"/>
        <w:spacing w:before="260" w:after="120"/>
        <w:rPr/>
      </w:pPr>
      <w:r>
        <w:rPr>
          <w:rFonts w:eastAsia="Calibri" w:cs="Calibri" w:ascii="Calibri" w:hAnsi="Calibri"/>
          <w:b/>
          <w:bCs/>
          <w:color w:val="1A1A2E"/>
          <w:sz w:val="26"/>
          <w:szCs w:val="26"/>
        </w:rPr>
        <w:t>Légende des statuts</w:t>
      </w:r>
    </w:p>
    <w:p>
      <w:pPr>
        <w:pStyle w:val="ListParagraph"/>
        <w:numPr>
          <w:ilvl w:val="0"/>
          <w:numId w:val="1"/>
        </w:numPr>
        <w:spacing w:before="0" w:after="80"/>
        <w:rPr/>
      </w:pPr>
      <w:r>
        <w:rPr>
          <w:rFonts w:eastAsia="Calibri" w:cs="Calibri"/>
          <w:b/>
          <w:bCs/>
          <w:sz w:val="21"/>
          <w:szCs w:val="21"/>
        </w:rPr>
        <w:t>EXISTE</w:t>
      </w:r>
      <w:r>
        <w:rPr>
          <w:rFonts w:eastAsia="Calibri" w:cs="Calibri"/>
          <w:sz w:val="21"/>
          <w:szCs w:val="21"/>
        </w:rPr>
        <w:t xml:space="preserve"> — la colonne est déjà présente dans une table intermediate.</w:t>
      </w:r>
    </w:p>
    <w:p>
      <w:pPr>
        <w:pStyle w:val="ListParagraph"/>
        <w:numPr>
          <w:ilvl w:val="0"/>
          <w:numId w:val="1"/>
        </w:numPr>
        <w:spacing w:before="0" w:after="80"/>
        <w:rPr/>
      </w:pPr>
      <w:r>
        <w:rPr>
          <w:rFonts w:eastAsia="Calibri" w:cs="Calibri"/>
          <w:b/>
          <w:bCs/>
          <w:sz w:val="21"/>
          <w:szCs w:val="21"/>
        </w:rPr>
        <w:t>À AGRÉGER</w:t>
      </w:r>
      <w:r>
        <w:rPr>
          <w:rFonts w:eastAsia="Calibri" w:cs="Calibri"/>
          <w:sz w:val="21"/>
          <w:szCs w:val="21"/>
        </w:rPr>
        <w:t xml:space="preserve"> — l'information existe au grain événement/match, à remonter en rolling/lag.</w:t>
      </w:r>
    </w:p>
    <w:p>
      <w:pPr>
        <w:pStyle w:val="ListParagraph"/>
        <w:numPr>
          <w:ilvl w:val="0"/>
          <w:numId w:val="1"/>
        </w:numPr>
        <w:spacing w:before="0" w:after="80"/>
        <w:rPr/>
      </w:pPr>
      <w:r>
        <w:rPr>
          <w:rFonts w:eastAsia="Calibri" w:cs="Calibri"/>
          <w:b/>
          <w:bCs/>
          <w:sz w:val="21"/>
          <w:szCs w:val="21"/>
        </w:rPr>
        <w:t>À CONSTRUIRE</w:t>
      </w:r>
      <w:r>
        <w:rPr>
          <w:rFonts w:eastAsia="Calibri" w:cs="Calibri"/>
          <w:sz w:val="21"/>
          <w:szCs w:val="21"/>
        </w:rPr>
        <w:t xml:space="preserve"> — n'existe dans aucune table : chantier neuf pour la session de code.</w:t>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1 — Contexte pré-match</w:t>
      </w:r>
    </w:p>
    <w:p>
      <w:pPr>
        <w:pStyle w:val="Normal"/>
        <w:spacing w:before="0" w:after="120"/>
        <w:rPr/>
      </w:pPr>
      <w:r>
        <w:rPr>
          <w:rFonts w:eastAsia="Calibri" w:cs="Calibri"/>
          <w:color w:val="555555"/>
          <w:sz w:val="21"/>
          <w:szCs w:val="21"/>
        </w:rPr>
        <w:t>Famille des seules features garanties sans fuite : elles sont connues avant le coup d'envoi sans aucun calcul sur le match courant. C'est le socle minimal de tout modèle.</w:t>
      </w:r>
    </w:p>
    <w:p>
      <w:pPr>
        <w:pStyle w:val="Normal"/>
        <w:spacing w:before="0" w:after="120"/>
        <w:rPr/>
      </w:pPr>
      <w:r>
        <w:rPr>
          <w:rFonts w:eastAsia="Calibri" w:cs="Calibri"/>
          <w:color w:val="555555"/>
          <w:sz w:val="21"/>
          <w:szCs w:val="21"/>
        </w:rPr>
        <w:t>En V1, cette famille est volontairement réduite : la mesure de force globale d'équipe (ELO, classement) est reportée en V2 (scraping dédié à ajouter). On assume que la forme (famille 2) et la qualité du onze (famille 5) tiennent lieu de proxy de force. Ce choix est conscient, pas un oubli.</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is_home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L'équipe joue-t-elle à domicile.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(venue)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PRE-MATCH CONNU</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 Buteurs, Événements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Dérivé direct de venue ∈ {Home, Away, Neutral}.</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comp_category</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Catégorie de la compétition du match (Big5 / Cup / Europe) — proxy d'enjeu et de niveau d'adversité.</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(comp_category)</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PRE-MATCH CONNU</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 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days_since_last_game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Nombre de jours de repos depuis le dernier match officiel de l'équipe (fatigue / fraîcheur).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(date)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PRE-MATCH CONNU</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 Événements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Calculé par différence de dates entre matchs consécutifs de la même équipe, ordonnés chronologiquement. Se calcule uniquement à partir de matchs passés → aucun leakage.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season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Saison du match, utilisée pour le split temporel train/val/test et le suivi de couverture, pas comme prédicteur direct.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(season)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PRE-MATCH CONNU</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(technique)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Ne pas utiliser comme feature d'entrée : sert au découpage temporel.</w:t>
            </w:r>
          </w:p>
        </w:tc>
      </w:tr>
    </w:tbl>
    <w:p>
      <w:pPr>
        <w:pStyle w:val="Normal"/>
        <w:spacing w:before="0" w:after="120"/>
        <w:rPr/>
      </w:pPr>
      <w:r>
        <w:rPr/>
      </w:r>
    </w:p>
    <w:p>
      <w:pPr>
        <w:pStyle w:val="Heading2"/>
        <w:spacing w:before="260" w:after="120"/>
        <w:rPr/>
      </w:pPr>
      <w:r>
        <w:rPr>
          <w:rFonts w:eastAsia="Calibri" w:cs="Calibri" w:ascii="Calibri" w:hAnsi="Calibri"/>
          <w:b/>
          <w:bCs/>
          <w:color w:val="1A1A2E"/>
          <w:sz w:val="26"/>
          <w:szCs w:val="26"/>
        </w:rPr>
        <w:t>Confrontation directe (H2H)</w:t>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h2h_win_rate_cutoff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équipe-adversaire-match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Taux de victoire de l'équipe dans l'historique des confrontations directes contre cet adversaire, cumulé avant le match courant.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h2h_history (h2h_wins, h2h_played)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H2H-CUTOFF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h2h_history porte déjà les cumuls antérieurs (h2h_played = confrontations avant ce match). À dériver en taux.</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h2h_avg_gf_10 / h2h_avg_ga_10</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équipe-adversaire-match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Moyenne de buts marqués / encaissés sur les 10 dernières confrontations directes.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h2h_history (h2h_avg_gf_10, h2h_avg_ga_10)</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H2H-CUTOFF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h2h_home_win_rate_cutoff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équipe-adversaire-match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Taux de victoire à domicile en confrontation directe (spécifique au venue).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h2h_history (h2h_home_wins, h2h_home_played)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H2H-CUTOFF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2 — Forme &amp; momentum d'équipe</w:t>
      </w:r>
    </w:p>
    <w:p>
      <w:pPr>
        <w:pStyle w:val="Normal"/>
        <w:spacing w:before="0" w:after="120"/>
        <w:rPr/>
      </w:pPr>
      <w:r>
        <w:rPr>
          <w:rFonts w:eastAsia="Calibri" w:cs="Calibri"/>
          <w:color w:val="555555"/>
          <w:sz w:val="21"/>
          <w:szCs w:val="21"/>
        </w:rPr>
        <w:t>Capture la dynamique récente de l'équipe sur fenêtre glissante. Distinction méthodologique importante : les buts réels (gf/ga) sont bruités (un match à 3 buts sur 3 tirs ne se reproduit pas) ; le xG (np_xg) capture la domination réelle et est plus prédictif. Le document spécifie systématiquement les deux, la sélection de features tranchera lesquels retenir.</w:t>
      </w:r>
    </w:p>
    <w:p>
      <w:pPr>
        <w:pStyle w:val="Normal"/>
        <w:spacing w:before="0" w:after="120"/>
        <w:rPr/>
      </w:pPr>
      <w:r>
        <w:rPr>
          <w:rFonts w:eastAsia="Calibri" w:cs="Calibri"/>
          <w:color w:val="555555"/>
          <w:sz w:val="21"/>
          <w:szCs w:val="21"/>
        </w:rPr>
        <w:t>Toutes les features de cette famille sont ROLLING(N) avec N ∈ {3,5,10} et exclusion stricte du match courant.</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avg_gf_rolling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Moyenne de buts marqués sur les N derniers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(gf)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avg_ga_rolling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Moyenne de buts encaissés sur les N derniers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(ga)</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avg_np_xg_rolling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Moyenne d'expected goals hors penalty produits sur les N derniers matchs (domination offensive réelle).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(np_xg)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np_xg NULL hors Understat : prévoir le traitement des matchs sans couverture (imputation ou exclusion de la fenêtre).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avg_np_xg_conceded_rolling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Moyenne d'xG hors penalty concédés sur les N derniers matchs (fragilité défensive réelle).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(np_xg_conceded)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avg_np_xg_diff_rolling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Différentiel xG moyen (produit − concédé) sur les N derniers matchs — indicateur de supériorité nette.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(np_xg_diff_match)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points_rolling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Points pris (3/1/0) sur les N derniers matchs — forme au sens classement.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(result_1n2, venue)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result_1n2 est H/D/A du point de vue domicile ; convertir en résultat du point de vue de l'équipe (via venue) avant de compter les points.</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win_rate_rolling / draw_rate / loss_rate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Fréquence de victoires / nuls / défaites sur les N derniers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(result_1n2, venue)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clean_sheet_rate_rolling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Part des N derniers matchs sans but encaissé.</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(clean_sheet)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failed_to_score_rate_rolling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Part des N derniers matchs sans marquer.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(gf)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shots_rolling / shots_ot_rolling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Moyenne de tirs / tirs cadrés sur les N derniers matchs (volume offensif, plus stable que les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(shots_total, shots_on_target)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3 — Style &amp; identité d'équipe</w:t>
      </w:r>
    </w:p>
    <w:p>
      <w:pPr>
        <w:pStyle w:val="Normal"/>
        <w:spacing w:before="0" w:after="120"/>
        <w:rPr/>
      </w:pPr>
      <w:r>
        <w:rPr>
          <w:rFonts w:eastAsia="Calibri" w:cs="Calibri"/>
          <w:color w:val="555555"/>
          <w:sz w:val="21"/>
          <w:szCs w:val="21"/>
        </w:rPr>
        <w:t>Ne mesure pas la force de l'équipe mais SA MANIÈRE de jouer, ce qui conditionne les matchups zonaux et le volume de buts. Beaucoup de ces features existent déjà, agrégées au grain équipe-match (team_features_ws) ou équipe-saison (int_whoscored_team_season). Les features équipe-match doivent être roulées ; les features équipe-saison suivent SEASON-LAG.</w:t>
      </w:r>
    </w:p>
    <w:p>
      <w:pPr>
        <w:pStyle w:val="Normal"/>
        <w:spacing w:before="0" w:after="120"/>
        <w:rPr/>
      </w:pPr>
      <w:r>
        <w:rPr>
          <w:rFonts w:eastAsia="Calibri" w:cs="Calibri"/>
          <w:color w:val="555555"/>
          <w:sz w:val="21"/>
          <w:szCs w:val="21"/>
        </w:rPr>
        <w:t>Point de vigilance : team_features_ws est au grain match (donc post-match sur le match courant) et doit impérativement passer en ROLLING. int_whoscored_team_season est au grain saison et se consomme en LAG (saison précédente, ou saison en cours arrêtée avant le match).</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ppda_rolling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Intensité de pressing (passes adverses autorisées par action défensive) moyenne sur N matchs — bas = pressing haut et agressif.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(ppda)</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 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ppda_allowed_rolling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Pressing subi moyen sur N matchs (capacité de l'équipe à progresser sous pression).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(ppda_allowed)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field_tilt_rolling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Domination territoriale (proportion de touches en zone offensive) moyenne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(ws_field_tilt_actions, ws_zone_att_pct)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TIERS_OFF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counter_attack_dna_rolling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Propension à marquer/tirer en transition rapide (part des tirs issus d'une récupération &lt; 15 s)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(ws_counter_attack_dna, ws_counter_shot_rate)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attack_flank_distribution_rolling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Répartition des attaques par couloir (gauche / axe / droite) sur N matchs — indique par où l'équipe attaque.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(ws_attack_left_pct, ws_attack_center_pct, ws_attack_right_pct)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Entrée directe des confrontations zonales (famille 7) : croisée avec la vulnérabilité par couloir de l'adversaire.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def_flank_exposure_rolling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Répartition des attaques adverses subies par couloir sur N matchs — par où l'équipe est attaquée.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(ws_def_exposed_left_pct, ws_def_exposed_center_pct, ws_def_exposed_right_pct)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Autre moitié de la confrontation par couloir.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cross_rate_rolling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Part des passes qui sont des centres sur N matchs (style de jeu par les ailes).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(ws_cross_rate)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through_ball_rate_rolling / long_ball_rate_rolling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Part des passes en profondeur / longs ballons sur N matchs (jeu direct vs construction).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(ws_through_ball_rate, ws_long_ball_rate)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shot_location_profile_rolling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Répartition des tirs par zone (6 m, surface, hors surface) sur N matchs — qualité des positions de frappe.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(ws_shot_six_yard_pct, ws_shot_penalty_pct, ws_shot_oob_pct)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set_piece_reliance_rolling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Dépendance aux coups de pied arrêtés (part des actions/tirs offensifs issus de CPA)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(ws_set_piece_pressure, ws_shot_set_piece_pct)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defensive_line_height_rolling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Hauteur moyenne de la ligne défensive sur N matchs (bloc haut vs bas) — conditionne l'espace concédé dans le dos.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team_features_ws (ws_defensive_line_height)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season_xg_per_shot_for / against_lag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Qualité moyenne des tirs produits / concédés sur la saison (xG par tir), décalée en 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int_whoscored_team_season (ws_home/away_xg_per_shot_for/against)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Disponible séparément domicile/extérieur — sélectionner selon le venue du match à prédire.</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4 — Forces individuelles agrégées au onze</w:t>
      </w:r>
    </w:p>
    <w:p>
      <w:pPr>
        <w:pStyle w:val="Normal"/>
        <w:spacing w:before="0" w:after="120"/>
        <w:rPr/>
      </w:pPr>
      <w:r>
        <w:rPr>
          <w:rFonts w:eastAsia="Calibri" w:cs="Calibri"/>
          <w:color w:val="555555"/>
          <w:sz w:val="21"/>
          <w:szCs w:val="21"/>
        </w:rPr>
        <w:t>Qualité BRUTE des 11 titulaires, indépendamment des matchups zonaux (familles 5-7). Répond à « cette composition est-elle forte dans l'absolu ». C'est le cœur du simulateur de lineup : recalculer ces agrégats quand un titulaire change répond directement à « et si X ne joue pas ? ».</w:t>
      </w:r>
    </w:p>
    <w:p>
      <w:pPr>
        <w:pStyle w:val="Normal"/>
        <w:spacing w:before="0" w:after="120"/>
        <w:rPr/>
      </w:pPr>
      <w:r>
        <w:rPr>
          <w:rFonts w:eastAsia="Calibri" w:cs="Calibri"/>
          <w:color w:val="555555"/>
          <w:sz w:val="21"/>
          <w:szCs w:val="21"/>
        </w:rPr>
        <w:t>Ces features dépendent de la composition, donc ne sont pleinement calculables qu'une fois les compos sorties (~1 h avant le coup d'envoi). Les qualités individuelles agrégées reposent sur des stats joueur SEASON-LAG (jamais la performance du joueur dans le match courant).</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lineup_avg_rating_lag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Note WhoScored moyenne du onze titulaire, chaque joueur pris sur sa moyenne de saison décalée.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int_whoscored_lineup  ·  int_whoscored_player_match (rating)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 (moyenne joueur) + composition PRE-MATCH CONNU</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Le rating est au grain joueur-match ; il faut une moyenne joueur-saison-LAG, puis moyenner sur les 11 titulaires du match courant. Attention leakage : ne jamais inclure le rating du joueur dans le match prédit.</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lineup_sum_xg_contribution_lag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Somme des contributions xG attendues des 11 titulaires (niveau de menace offensive cumulé du onze).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int_whoscored_lineup  ·  player_match_stats (xg_contribution)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xg_contribution est par joueur-match ; agréger en moyenne joueur-saison-LAG puis sommer sur le onze.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lineup_avg_minutes_experience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Expérience cumulée du onze (minutes jouées dans la saison en cours avant le match) — proxy de rodage/automatismes.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int_whoscored_lineup  ·  int_whoscored_formations (start/end minutes)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Minutes cumulées à la veille du match uniquement.</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lineup_avg_age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Âge moyen du onze titulaire.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int_whoscored_lineup  ·  int_whoscored_player_match (age)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PRE-MATCH CONNU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n_key_starters_missing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Nombre de titulaires habituels absents du onze du jour (indicateur d'affaiblissement de la compo).</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int_whoscored_lineup  ·  int_whoscored_formations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PRE-MATCH CONNU (composition) + historique 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Nécessite de définir « titulaire habituel » (ex. joueur présent dans ≥ X% des compos précédentes de la saison). Point à trancher : seuil de définition.</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5 — Profils offensifs joueur (zonal 5×5)</w:t>
      </w:r>
    </w:p>
    <w:p>
      <w:pPr>
        <w:pStyle w:val="Normal"/>
        <w:spacing w:before="0" w:after="120"/>
        <w:rPr/>
      </w:pPr>
      <w:r>
        <w:rPr>
          <w:rFonts w:eastAsia="Calibri" w:cs="Calibri"/>
          <w:color w:val="555555"/>
          <w:sz w:val="21"/>
          <w:szCs w:val="21"/>
        </w:rPr>
        <w:t>Caractérise, pour chaque joueur, OÙ il produit du danger offensif et PAR QUEL TYPE D'ACTION, sur l'ensemble de ses matchs (pas contre un adversaire précis). C'est la moitié offensive de la confrontation de profils : « tamtam vit de centres et frappe fort en z5_c4 ».</w:t>
      </w:r>
    </w:p>
    <w:p>
      <w:pPr>
        <w:pStyle w:val="Normal"/>
        <w:spacing w:before="0" w:after="120"/>
        <w:rPr/>
      </w:pPr>
      <w:r>
        <w:rPr>
          <w:rFonts w:eastAsia="Calibri" w:cs="Calibri"/>
          <w:color w:val="555555"/>
          <w:sz w:val="21"/>
          <w:szCs w:val="21"/>
        </w:rPr>
        <w:t>Grain de référence : joueur-zone-saison (une ligne par joueur × case 5×5 × saison), SEASON-LAG. Le joueur n'est pas réduit à un point : il est l'ensemble des zones où il agit, avec quel volume et quelle réussite. Les milieux sont naturellement couverts sur leurs zones centrales/médianes, sans catégorie de poste dédiée.</w:t>
      </w:r>
    </w:p>
    <w:p>
      <w:pPr>
        <w:pStyle w:val="Normal"/>
        <w:spacing w:before="0" w:after="120"/>
        <w:rPr/>
      </w:pPr>
      <w:r>
        <w:rPr>
          <w:rFonts w:eastAsia="Calibri" w:cs="Calibri"/>
          <w:color w:val="555555"/>
          <w:sz w:val="21"/>
          <w:szCs w:val="21"/>
        </w:rPr>
        <w:t>Rappel data : player_match_stats porte déjà les grilles pct_zX_cY (part des touches par case) et les déclinaisons par état de score (_winning/_losing/_drawing/_blank et _late). event_values fournit le danger et la création par action. player_xg_chain / player_zone_transitions complètent la dimension progression.</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off_touch_share_by_zone_lag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Part des touches du joueur dans chaque case 5×5, moyenne de saison — carte de présence offensive.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(pct_zX_cY, n_touches)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complète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 (confrontation famille 7)</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Les pct_zX_cY sont par joueur-match ; moyenner en joueur-saison-LAG pondéré par les touches.</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off_danger_by_zone_lag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Danger offensif moyen généré par le joueur par zone (dangerosité de position × création d'occasion).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event_values (danger_position, chance_creation, action_value, x, y)</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complète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 (confrontation)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event_values est au grain événement avec x,y ; affecter chaque action à sa case 5×5, agréger le danger par joueur-zone-saison. Le découpage (x,y)→case suit la convention grille du document.</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off_shot_volume_by_zone_lag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Volume de tirs du joueur par zone, moyenne de saison — d'où il frappe.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int_shot_placement (x, y, player_id)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(surtout z4/z5)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off_cross_volume_by_flank_lag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joueur-flanc-saison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Volume de centres réussis du joueur par flanc (le « tamtam qui vit de centres »).</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player_passes_raw (is_creative, x, y)  ·  player_match_stats (n_crosses)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COULOIR_GAUCHE / COULOIR_DROIT (z4-z5)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 (confrontation)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Identifier les centres dans player_passes_raw (crosses) et les localiser par flanc offensif ; agréger en joueur-flanc-saison.</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off_key_pass_by_zone_lag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Passes clés / passes menant à un tir du joueur par zone — création par la passe.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(n_key_passes, n_shot_assists)  ·  player_passes_raw (is_key_pass, is_shot_assist)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(surtout z4)</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off_xgchain_per90_lag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xGChain par 90 min du joueur (implication dans toute possession finissant par un tir) — généraliste offensif.</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player_xg_chain (xgchain, xgchain_weighted)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 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Définition standard StatsBomb confirmée : crédit du xG du tir terminal à chaque joueur de la chaîne.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off_xgbuildup_per90_lag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xGBuildup par 90 min (implication hors tir et passe décisive) — révèle les architectes en amont, utile pour milieux/défenseurs relanceurs.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player_xg_chain (xgbuildup, xgbuildup_weighted)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off_progressive_actions_by_zone_lag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Passes et conduites progressives du joueur par zone (capacité à faire avancer le ballon).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(n_progressive_passes)  ·  int_progressive_carries (progress_m, is_progressive)  ·  player_zone_transitions (progressive_rate, zone_from, zone_to)</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(confrontation)</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off_shot_conversion_lag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Efficacité de finition du joueur (buts / tirs) sur la saison — surperformance vs sous-performance xG.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(n_shots, xg_contribution)  ·  int_shot_placement (is_goal)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À croiser prudemment avec xGOT (famille 10) pour distinguer qualité de placement et chance.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off_dna_by_score_state_lag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joueur-état_score-saison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Modulation du comportement offensif du joueur selon l'état du score (mène / mené / nul), via les compteurs contextuels.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(n_shots_winning/losing/drawing, n_progressive_passes_winning/losing, grilles _winning/_losing)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par état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 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Exploite les déclinaisons d'état de score déjà présentes. Volume par état parfois faible : candidat à l'imputation par cluster (famille 11).</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6 — Profils défensifs joueur (zonal 5×5)</w:t>
      </w:r>
    </w:p>
    <w:p>
      <w:pPr>
        <w:pStyle w:val="Normal"/>
        <w:spacing w:before="0" w:after="120"/>
        <w:rPr/>
      </w:pPr>
      <w:r>
        <w:rPr>
          <w:rFonts w:eastAsia="Calibri" w:cs="Calibri"/>
          <w:color w:val="555555"/>
          <w:sz w:val="21"/>
          <w:szCs w:val="21"/>
        </w:rPr>
        <w:t>Moitié défensive de la confrontation de profils : OÙ un joueur défend bien et OÙ il concède. C'est là que vit l'exemple du latéral (« il bloque les incursions de son côté mais laisse passer des centres »). Mesuré sur tous les matchs du joueur, indépendamment de l'adversaire.</w:t>
      </w:r>
    </w:p>
    <w:p>
      <w:pPr>
        <w:pStyle w:val="Normal"/>
        <w:spacing w:before="0" w:after="120"/>
        <w:rPr/>
      </w:pPr>
      <w:r>
        <w:rPr>
          <w:rFonts w:eastAsia="Calibri" w:cs="Calibri"/>
          <w:color w:val="555555"/>
          <w:sz w:val="21"/>
          <w:szCs w:val="21"/>
        </w:rPr>
        <w:t>Grain de référence : joueur-zone-saison, SEASON-LAG. Difficulté propre à la défense : le football n'enregistre pas le marquage individuel. On caractérise donc le joueur par ses actions défensives localisées ET par le danger concédé par la chaîne quand il est impliqué — pas par un duel nominatif.</w:t>
      </w:r>
    </w:p>
    <w:p>
      <w:pPr>
        <w:pStyle w:val="Normal"/>
        <w:spacing w:before="0" w:after="120"/>
        <w:rPr/>
      </w:pPr>
      <w:r>
        <w:rPr>
          <w:rFonts w:eastAsia="Calibri" w:cs="Calibri"/>
          <w:color w:val="555555"/>
          <w:sz w:val="21"/>
          <w:szCs w:val="21"/>
        </w:rPr>
        <w:t>Point de vigilance repère : une action défensive est encodée du point de vue de l'équipe attaquante adverse ; danger_position gère déjà l'inversion (x défensif = (100-x)/100). Le « côté » du défenseur doit être défini par rapport à SA cage, cohérent avec la convention grille.</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def_actions_by_zone_lag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Volume et réussite des actions défensives du joueur par zone (tacles, interceptions, dégagements, récupérations).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(n_tackles, n_tackles_won, n_interceptions, n_ball_recoveries, n_clearances, defensive_zone_x)  ·  event_values (def_execution_quality, danger_position)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(confrontation)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defensive_zone_x donne déjà la profondeur moyenne des actions défensives ; compléter par la localisation fine via event_values.</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def_duel_win_rate_by_zone_lag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Taux de duels gagnés par le joueur par zone (résistance au dribble / au un-contre-un).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player_network_duels (outcome, x, y, player_id_a/b)  ·  player_match_stats (n_challenges)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(confrontation)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player_network_duels apparie les deux protagonistes d'un duel avec issue et localisation : base directe du « il bloque les incursions de son côté ».</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def_dribbled_past_by_zone_lag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Fréquence à laquelle le joueur se fait éliminer (dribble subi) par zone — vulnérabilité au un-contre-un.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int_whoscored_player_match (dribbled_past)  ·  player_network_duels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(confrontation)</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def_cross_conceded_by_flank_lag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joueur-flanc-saison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Centres adverses réussis concédés dans le couloir du joueur (le latéral « qui laisse passer des centres »).</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player_passes_raw (crosses adverses, x, y)  ·  int_whoscored_lineup (grid_horizontal, slot)  ·  int_defensive_blocks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 du joueur (z4-z5)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(confrontation),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Feature clé de l'exemple fondateur, entièrement à construire : associer les centres adverses au couloir défensif occupé par le joueur (via sa position lineup) et mesurer le taux concédé. un centre adverse réussi est attribué au(x) défenseur(s) dont la position lineup (grid_horizontal / slot dans int_whoscored_lineup) correspond au couloir défensif d'où provient le centre — indépendamment de la présence d'un duel. Choix du volume (dense) sur la précision nominative (rare), cohérent avec l'approche zonale. Pré-requis à valider en requête avant implémentation : que grid_horizontal/slot discriminent fiablement gauche/axe/droite (formationId non stable). .</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def_threat_conceded_by_zone_lag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Danger concédé par la chaîne adverse quand le joueur est impliqué défensivement, par zone — analogue défensif du xGChain.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threat_conceded (threat_conceded, threat_conceded_weighted, xg_proxy)</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threat_conceded attribue déjà le danger encaissé aux joueurs de la chaîne défensive : socle prêt 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def_errors_lag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Erreurs menant à un tir / un but commises par le joueur sur la saison (fiabilité).</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(n_errors_lead_to_shot, n_errors_lead_to_goal)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def_aerial_win_rate_lag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Taux de duels aériens gagnés (défense sur centres et coups de pied arrêtés).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(n_aerial_won, n_aerial_duels, aerial_win_rate, n_aerial_defensive)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 Événements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aerial_win_rate déjà calculé au grain joueur-match ; agréger en saison-LAG. Croisé avec def_cross_conceded : un flanc qui concède des centres + un axe faible de la tête = danger aérien élevé.</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def_recovery_height_lag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Hauteur moyenne des récupérations du joueur (pressing individuel haut vs bloc bas).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(n_ball_recoveries, defensive_zone_x)  ·  event_values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TIERS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7 — Confrontations zonales (croisement offensif A × défensif B)</w:t>
      </w:r>
    </w:p>
    <w:p>
      <w:pPr>
        <w:pStyle w:val="Normal"/>
        <w:spacing w:before="0" w:after="120"/>
        <w:rPr/>
      </w:pPr>
      <w:r>
        <w:rPr>
          <w:rFonts w:eastAsia="Calibri" w:cs="Calibri"/>
          <w:color w:val="555555"/>
          <w:sz w:val="21"/>
          <w:szCs w:val="21"/>
        </w:rPr>
        <w:t>Cœur de l'ambition tactique : croiser les profils offensifs d'une équipe (famille 5) aux profils défensifs de l'autre (famille 6), PAR ZONE, une fois les compositions connues. Réponse robuste à l'exemple Olise/latéral : non pas « ce joueur contre ce joueur » (bruité), mais « le danger produit dans ce couloir face à la fragilité de l'adversaire dans ce même couloir ».</w:t>
      </w:r>
    </w:p>
    <w:p>
      <w:pPr>
        <w:pStyle w:val="Normal"/>
        <w:spacing w:before="0" w:after="120"/>
        <w:rPr/>
      </w:pPr>
      <w:r>
        <w:rPr>
          <w:rFonts w:eastAsia="Calibri" w:cs="Calibri"/>
          <w:color w:val="555555"/>
          <w:sz w:val="21"/>
          <w:szCs w:val="21"/>
        </w:rPr>
        <w:t>Grain : zone-confrontation-match (une ligne par case ou couloir × match, pour chaque sens A→B et B→A). Ces features sont dérivées : elles combinent deux features SEASON-LAG déjà exemptes de fuite, la classe temporelle héritée reste donc sans leakage. Elles ne sont calculables qu'une fois les compos sorties.</w:t>
      </w:r>
    </w:p>
    <w:p>
      <w:pPr>
        <w:pStyle w:val="Normal"/>
        <w:spacing w:before="0" w:after="120"/>
        <w:rPr/>
      </w:pPr>
      <w:r>
        <w:rPr>
          <w:rFonts w:eastAsia="Calibri" w:cs="Calibri"/>
          <w:color w:val="555555"/>
          <w:sz w:val="21"/>
          <w:szCs w:val="21"/>
        </w:rPr>
        <w:t>Décision de résolution : construire les confrontations sur le regroupement 3 couloirs × 3 tiers (9 cases) plutôt que sur les 25 cases fines, pour éviter l'explosion du nombre de colonnes tout en gardant le sens tactique (un centre concédé, c'est un côté, pas toute l'équipe). Les profils individuels restent, eux, en 5×5 fin.</w:t>
      </w:r>
    </w:p>
    <w:p>
      <w:pPr>
        <w:pStyle w:val="Normal"/>
        <w:spacing w:before="0" w:after="120"/>
        <w:rPr/>
      </w:pPr>
      <w:r>
        <w:rPr>
          <w:rFonts w:eastAsia="Calibri" w:cs="Calibri"/>
          <w:color w:val="555555"/>
          <w:sz w:val="21"/>
          <w:szCs w:val="21"/>
        </w:rPr>
        <w:t>Méthode d'agrégation d'un profil d'équipe par zone : sommer/pondérer les profils des joueurs effectivement présents dans la zone selon la composition (position lineup). C'est ce qui rend le simulateur de lineup opérant : retirer un joueur modifie le profil de sa zone, donc la confrontation.</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matchup_danger_by_corridor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couloir-confrontation-match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Score de menace du couloir attaquant de A confronté à la fragilité du même couloir défensif de B — « A attaque là où B est faible ».</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5 (off_danger_by_zone, off_cross_volume_by_flank, attack_flank_distribution)  ·  famille 6 (def_threat_conceded_by_zone, def_cross_conceded_by_flank, def_flank_exposure)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DÉRIVÉ (héritant SEASON-LAG) + composition PRE-MATCH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3 couloirs × 3 tiers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Feature composite : définir la fonction de croisement (ex. produit menace_off × vulnérabilité_def par couloir). Point à trancher : forme exacte du score de confrontation (produit, ratio, différence normalisée).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matchup_cross_threat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flanc-confrontation-match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Danger spécifique de centre : capacité de A à centrer d'un flanc × propension de B à concéder des centres dans ce flanc × force aérienne des cibles de A vs faiblesse aérienne de B.</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5 (off_cross_volume_by_flank)  ·  famille 6 (def_cross_conceded_by_flank, def_aerial_win_rate)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DÉRIVÉ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COULOIRS (z4-z5)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Traduction directe de l'exemple fondateur (centre concédé par le latéral + pointe fort de la tête).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matchup_dribble_threat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flanc-confrontation-match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Danger de percée : dribbleurs de A dans un couloir × vulnérabilité au dribble de B dans ce couloir.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5 (off_progressive_actions_by_zone, dribbles)  ·  famille 6 (def_duel_win_rate_by_zone, def_dribbled_past_by_zone)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DÉRIVÉ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COULOIRS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matchup_central_control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axe-confrontation-match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Domination de l'axe médian : présence/progression de A en z3-c3 × densité défensive de B dans l'axe.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5 (off_touch_share_by_zone, off_progressive_actions)  ·  famille 6 (def_actions_by_zone, def_threat_conceded_by_zone)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DÉRIVÉ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AXE (z3-z4, c3)</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Couvre l'importance des milieux sans catégorie de poste : c'est la confrontation des zones centrales.</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matchup_high_press_vs_buildup</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équipe-confrontation-match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Confrontation pressing de B × capacité de relance sous pression de A (ppda de B vs ppda_allowed / xgbuildup de A).</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3 (ppda_rolling, ppda_allowed_rolling)  ·  famille 5 (off_xgbuildup_per90)</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DÉRIVÉ</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TIERS_DEF de A</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8 — Discipline &amp; événements (cartons, corners)</w:t>
      </w:r>
    </w:p>
    <w:p>
      <w:pPr>
        <w:pStyle w:val="Normal"/>
        <w:spacing w:before="0" w:after="120"/>
        <w:rPr/>
      </w:pPr>
      <w:r>
        <w:rPr>
          <w:rFonts w:eastAsia="Calibri" w:cs="Calibri"/>
          <w:color w:val="555555"/>
          <w:sz w:val="21"/>
          <w:szCs w:val="21"/>
        </w:rPr>
        <w:t>Alimente principalement le modèle Événements (P(≥2 cartons), P(≥6 corners)), avec des prédicteurs propres, distincts de ceux des buts. Mixte de features roulées équipe-match et de profils joueur SEASON-LAG.</w:t>
      </w:r>
    </w:p>
    <w:p>
      <w:pPr>
        <w:pStyle w:val="Normal"/>
        <w:spacing w:before="0" w:after="120"/>
        <w:rPr/>
      </w:pPr>
      <w:r>
        <w:rPr>
          <w:rFonts w:eastAsia="Calibri" w:cs="Calibri"/>
          <w:color w:val="555555"/>
          <w:sz w:val="21"/>
          <w:szCs w:val="21"/>
        </w:rPr>
        <w:t>Les cibles événementielles ont leurs propres dynamiques : un match est cartonné selon l'agressivité des deux équipes ET l'arbitre (non disponible en V1) ; les corners dépendent du volume offensif et du style (centres, tirs contrés).</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yellow_cards_rolling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Cartons jaunes reçus en moyenne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(yellow_cards, second_yellow_cards, red_cards)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fouls_committed_rolling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Fautes commises en moyenne sur N matchs (agressivité — antécédent des cartons).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backbone (fouls_committed)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fouls_drawn_rolling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Fautes provoquées en moyenne sur N matchs (subit-elle des fautes → cartons adverses).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int_fouls_drawn (drawing_team_id, leads_to_penalty)</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player_card_propensity_lag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Propension individuelle aux cartons (jaunes/rouges par 90) des titulaires — agrégée au onze.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(n_yellow_cards, n_second_yellows, n_red_cards)  ·  int_whoscored_lineup</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Permet d'ajuster selon la compo (un onze avec des joueurs à cartons est plus exposé).</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corners_for_rolling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Corners obtenus en moyenne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int_whoscored_player_match (corners_total)  ·  corner_profiles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corners_total est par joueur-match ; sommer par équipe-match puis rouler.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corners_against_rolling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Corners concédés en moyenne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corner_profiles  ·  int_whoscored_team_match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shots_blocked_rolling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équipe-match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Tirs contrés (source fréquente de corners) en moyenne sur N matchs.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int_defensive_blocks (blocked_type)  ·  int_whoscored_player_match (shots_blocked)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ROLLING(N)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Événements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9 — Profil gardien</w:t>
      </w:r>
    </w:p>
    <w:p>
      <w:pPr>
        <w:pStyle w:val="Normal"/>
        <w:spacing w:before="0" w:after="120"/>
        <w:rPr/>
      </w:pPr>
      <w:r>
        <w:rPr>
          <w:rFonts w:eastAsia="Calibri" w:cs="Calibri"/>
          <w:color w:val="555555"/>
          <w:sz w:val="21"/>
          <w:szCs w:val="21"/>
        </w:rPr>
        <w:t>Souvent oublié, réellement prédictif pour Buts et 1N2 : un gardien qui arrête plus que la qualité des tirs ne le prédit change la distribution des buts encaissés. Le projet dispose d'une métrique rare et de qualité, int_keeper_psxg (Post-Shot xG +/-), qu'il faut valoriser.</w:t>
      </w:r>
    </w:p>
    <w:p>
      <w:pPr>
        <w:pStyle w:val="Normal"/>
        <w:spacing w:before="0" w:after="120"/>
        <w:rPr/>
      </w:pPr>
      <w:r>
        <w:rPr>
          <w:rFonts w:eastAsia="Calibri" w:cs="Calibri"/>
          <w:color w:val="555555"/>
          <w:sz w:val="21"/>
          <w:szCs w:val="21"/>
        </w:rPr>
        <w:t>Grain : gardien-saison, SEASON-LAG. Le gardien titulaire est connu une fois la compo sortie ; on rattache alors son profil de saison décalé à l'équipe.</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keeper_psxg_plus_minus_lag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gardien-saison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Shot-stopping du gardien titulaire : somme des xGOT subis − buts encaissés sur la saison décalée. Positif = surperformance (arrête plus que prévu).</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int_keeper_psxg (psxg_plus_minus, psxg_faced, goals_conceded)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 + composition (gardien titulaire)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Déjà au grain gardien-saison-championnat ; consommer en LAG. Garde-fou def_gk_available déjà appliqué en amont.</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keeper_save_pct_lag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gardien-saison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Taux d'arrêt brut du gardien titulaire (ne tient pas compte de la difficulté — complément de la métrique PSxG).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int_keeper_psxg (save_pct, saves, shots_faced)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keeper_shots_faced_lag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gardien-saison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Volume de tirs cadrés subis sur la saison (exposition — fiabilité de l'échantillon PSxG).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int_keeper_psxg (shots_faced)</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(pondération)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EXISTE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Sert à pondérer la confiance dans psxg_plus_minus (petit échantillon = signal bruité → candidat imputation cluster gardiens).</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keeper_distribution_lag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gardien-saison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Qualité de relance du gardien (implication dans la construction) — pertinent face à un pressing haut.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int_whoscored_player_match (passes_total, passes_accurate pour le GK)  ·  player_match_stats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1N2</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Optionnel V1. Croisé avec matchup_high_press_vs_buildup (famille 7).</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10 — Features spécifiques Buteurs (grain joueur)</w:t>
      </w:r>
    </w:p>
    <w:p>
      <w:pPr>
        <w:pStyle w:val="Normal"/>
        <w:spacing w:before="0" w:after="120"/>
        <w:rPr/>
      </w:pPr>
      <w:r>
        <w:rPr>
          <w:rFonts w:eastAsia="Calibri" w:cs="Calibri"/>
          <w:color w:val="555555"/>
          <w:sz w:val="21"/>
          <w:szCs w:val="21"/>
        </w:rPr>
        <w:t>Sert UNIQUEMENT le modèle Buteurs, dont le grain est joueur-match (une ligne = un joueur dans un match, cible P(joueur marque ≥ 1)). Rassemble les prédicteurs individuels de la probabilité de marquer, agrégés en SEASON-LAG et modulés par le contexte du match.</w:t>
      </w:r>
    </w:p>
    <w:p>
      <w:pPr>
        <w:pStyle w:val="Normal"/>
        <w:spacing w:before="0" w:after="120"/>
        <w:rPr/>
      </w:pPr>
      <w:r>
        <w:rPr>
          <w:rFonts w:eastAsia="Calibri" w:cs="Calibri"/>
          <w:color w:val="555555"/>
          <w:sz w:val="21"/>
          <w:szCs w:val="21"/>
        </w:rPr>
        <w:t>Ce modèle est le seul à granularité joueur ; il réutilise largement les profils offensifs (famille 5) mais y ajoute des features de finition et de rôle sur coups de pied arrêtés.</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scorer_shots_per90_lag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Volume de tirs par 90 min du joueur (antécédent le plus direct de marquer).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(n_shots, n_shots_regular_play, n_shots_individual_play)  ·  int_shot_placement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scorer_xg_per90_lag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xG par 90 min du joueur (qualité cumulée des positions de frappe).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(xg_contribution)  ·  int_shot_placement (pre_shot_xg_proxy)</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scorer_xgot_overperformance_lag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Sur/sous-performance de finition : xGOT réalisé vs xG pré-tir (qualité de frappe au-delà de la 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machine_learning.xgot_predictions (via int_keeper_shots)  ·  int_shot_placement (pre_shot_xg_proxy, is_goal)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xGOT confirmé conforme (post-shot xG). Mesure si le joueur finit mieux que la position ne le prédit. Petit échantillon fréquent → candidat imputation cluster.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scorer_team_shot_share_lag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Part des tirs de l'équipe qui reviennent au joueur (centralité offensive — un attaquant qui monopolise les tirs marque plus).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player_match_stats (n_shots)  ·  backbone (shots_total)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scorer_shot_zone_profile_lag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Répartition des tirs du joueur par zone (proximité du but — les tirs proches convertissent mieux).</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int_shot_placement (x, y, placement_zone, is_goal)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(z5)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AGRÉGER</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scorer_penalty_taker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Le joueur est-il le tireur de penalty attitré (les penalties gonflent fortement P(marque)).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int_penalties (taker_player_id, is_goal)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Statut de tireur déterminé sur l'historique de saison ; forte valeur prédictive.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scorer_freekick_taker</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Le joueur est-il tireur de coup franc direct (source additionnelle de buts).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freekick_profiles (freekick_taker_id, fk_type, chain_danger_total)</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scorer_context_vs_opponent_style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joueur-match</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Modulation de P(marque) par la vulnérabilité défensive de l'adversaire dans les zones de frappe du joueur (lien vers confrontation famille 7).</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5 (off_shot_volume_by_zone)  ·  famille 6 (def_threat_conceded_by_zone)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DÉRIVÉ + composition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Buteurs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Fait entrer le matchup zonal dans le modèle joueur : un buteur qui frappe où l'adversaire est faible voit sa proba monter.</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Famille 11 — Clustering / similarité (mécanisme d'imputation transverse)</w:t>
      </w:r>
    </w:p>
    <w:p>
      <w:pPr>
        <w:pStyle w:val="Normal"/>
        <w:spacing w:before="0" w:after="120"/>
        <w:rPr/>
      </w:pPr>
      <w:r>
        <w:rPr>
          <w:rFonts w:eastAsia="Calibri" w:cs="Calibri"/>
          <w:color w:val="555555"/>
          <w:sz w:val="21"/>
          <w:szCs w:val="21"/>
        </w:rPr>
        <w:t>N'est PAS une famille de features d'entrée du modèle. C'est un MÉCANISME transverse qui impute les profils manquants ou bruités des familles 5, 6, 9, 10 quand les données propres d'un joueur sont insuffisantes (recrue, peu de minutes, combinaison de conditions rare, petit échantillon PSxG/xGOT).</w:t>
      </w:r>
    </w:p>
    <w:p>
      <w:pPr>
        <w:pStyle w:val="Normal"/>
        <w:spacing w:before="0" w:after="120"/>
        <w:rPr/>
      </w:pPr>
      <w:r>
        <w:rPr>
          <w:rFonts w:eastAsia="Calibri" w:cs="Calibri"/>
          <w:color w:val="555555"/>
          <w:sz w:val="21"/>
          <w:szCs w:val="21"/>
        </w:rPr>
        <w:t>Principe validé : profil individuel quand les données suffisent ; imputation par voisins (K-NN sur joueurs similaires) SEULEMENT quand elles manquent. Ne jamais clusteriser par défaut : cela lisserait les joueurs et détruirait précisément la spécificité qu'on cherche à capturer.</w:t>
      </w:r>
    </w:p>
    <w:p>
      <w:pPr>
        <w:pStyle w:val="Normal"/>
        <w:spacing w:before="0" w:after="120"/>
        <w:rPr/>
      </w:pPr>
      <w:r>
        <w:rPr>
          <w:rFonts w:eastAsia="Calibri" w:cs="Calibri"/>
          <w:color w:val="555555"/>
          <w:sz w:val="21"/>
          <w:szCs w:val="21"/>
        </w:rPr>
        <w:t>Décision structurante : la similarité n'est PAS unique. Le regroupement se fait sur les dimensions pertinentes pour l'action modélisée (similarité « finition », similarité « création par le centre », similarité « défense de couloir »…), pas sur des stats globales type buts+passes décisives. Il y aura donc plusieurs espaces de similarité selon l'usage.</w:t>
      </w:r>
    </w:p>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player_style_cluster_offensive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Cluster de style offensif du joueur (position, zones de touche, type d'actions créatrices) — base d'imputation des profils offensifs manquants.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5 (profils offensifs zonaux)  ·  int_whoscored_lineup_agg (avg_vertical, avg_horizontal, primary_slot)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 (dimensions de clustering)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(imputation famille 5, 10)</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Dimensions de clustering à figer : zones de touche, type de passes/centres, volume de tirs, pied fort/position. Point à trancher : liste exacte des dimensions et nombre de clusters.</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player_style_cluster_defensive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Cluster de style défensif (zones d'action défensive, type de duels, aérien) — base d'imputation des profils défensifs manquants.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famille 6 (profils défensifs zonaux)  ·  int_whoscored_lineup_agg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5×5</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(imputation famille 6)</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C9D2EA"/>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knn_imputed_profile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 / joueur-saison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Valeur de profil imputée = moyenne des K voisins les plus similaires (dans l'espace de similarité pertinent) pour une case/feature où le joueur manque de données.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clusters ci-dessus  ·  profils familles 5/6/9/10</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selon la feature imputée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(imputation transverse)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 xml:space="preserve">Mécanisme, pas colonne unique. Déclencheur d'imputation à définir : seuil minimal d'observations propres (ex. &lt; X actions/tirs dans la case) en deçà duquel on bascule sur les voisins. </w:t>
              <w:br/>
            </w:r>
            <w:r>
              <w:rPr>
                <w:rStyle w:val="StrongEmphasis"/>
                <w:rFonts w:eastAsia="Calibri" w:cs="Calibri"/>
                <w:color w:val="1A1A2E"/>
                <w:sz w:val="18"/>
                <w:szCs w:val="18"/>
              </w:rPr>
              <w:t>Étape 1 — repousser la décision.</w:t>
            </w:r>
            <w:r>
              <w:rPr>
                <w:rFonts w:eastAsia="Calibri" w:cs="Calibri"/>
                <w:b w:val="false"/>
                <w:bCs w:val="false"/>
                <w:color w:val="1A1A2E"/>
                <w:sz w:val="18"/>
                <w:szCs w:val="18"/>
              </w:rPr>
              <w:t xml:space="preserve"> Tu n'as pas besoin de ce seuil pour construire les profils. Tu construis d'abord les profils </w:t>
            </w:r>
            <w:r>
              <w:rPr>
                <w:rStyle w:val="Emphasis"/>
                <w:rFonts w:eastAsia="Calibri" w:cs="Calibri"/>
                <w:b w:val="false"/>
                <w:bCs w:val="false"/>
                <w:color w:val="1A1A2E"/>
                <w:sz w:val="18"/>
                <w:szCs w:val="18"/>
              </w:rPr>
              <w:t>avec leur compteur d'observations</w:t>
            </w:r>
            <w:r>
              <w:rPr>
                <w:rFonts w:eastAsia="Calibri" w:cs="Calibri"/>
                <w:b w:val="false"/>
                <w:bCs w:val="false"/>
                <w:color w:val="1A1A2E"/>
                <w:sz w:val="18"/>
                <w:szCs w:val="18"/>
              </w:rPr>
              <w:t xml:space="preserve"> (le champ </w:t>
            </w:r>
            <w:r>
              <w:rPr>
                <w:rStyle w:val="SourceText"/>
                <w:b w:val="false"/>
                <w:bCs w:val="false"/>
                <w:color w:val="1A1A2E"/>
                <w:sz w:val="18"/>
                <w:szCs w:val="18"/>
              </w:rPr>
              <w:t>profile_confidence_flag</w:t>
            </w:r>
            <w:r>
              <w:rPr>
                <w:rFonts w:eastAsia="Calibri" w:cs="Calibri"/>
                <w:b w:val="false"/>
                <w:bCs w:val="false"/>
                <w:color w:val="1A1A2E"/>
                <w:sz w:val="18"/>
                <w:szCs w:val="18"/>
              </w:rPr>
              <w:t xml:space="preserve"> que j'ai mis dans la famille 11 sert exactement à ça : chaque profil sait sur combien d'actions il est calculé). Le seuil n'intervient qu'au moment de décider "j'impute ou pas". Donc tu peux coder toute la couche profils sans trancher, et ne trancher qu'après.</w:t>
            </w:r>
          </w:p>
          <w:p>
            <w:pPr>
              <w:pStyle w:val="TextBody"/>
              <w:bidi w:val="0"/>
              <w:rPr/>
            </w:pPr>
            <w:r>
              <w:rPr>
                <w:rStyle w:val="StrongEmphasis"/>
              </w:rPr>
              <w:t>Étape 2 — regarder la distribution.</w:t>
            </w:r>
            <w:r>
              <w:rPr/>
              <w:t xml:space="preserve"> Une fois les profils calculés, tu traces le nombre d'observations par joueur-zone. Tu verras probablement une masse de joueurs bien fournis et une traîne de joueurs pauvres en données. Ça te donne déjà un ordre de grandeur du "combien de joueurs seraient concernés par l'imputation à tel seuil".</w:t>
            </w:r>
          </w:p>
          <w:p>
            <w:pPr>
              <w:pStyle w:val="TextBody"/>
              <w:bidi w:val="0"/>
              <w:rPr/>
            </w:pPr>
            <w:r>
              <w:rPr>
                <w:rStyle w:val="StrongEmphasis"/>
              </w:rPr>
              <w:t>Étape 3 — mesurer la stabilité (la vraie méthode).</w:t>
            </w:r>
            <w:r>
              <w:rPr/>
              <w:t xml:space="preserve"> Tu prends les joueurs qui ont </w:t>
            </w:r>
            <w:r>
              <w:rPr>
                <w:rStyle w:val="Emphasis"/>
              </w:rPr>
              <w:t>beaucoup</w:t>
            </w:r>
            <w:r>
              <w:rPr/>
              <w:t xml:space="preserve"> de données, tu calcules leur profil sur la première moitié de leurs matchs et sur la seconde, et tu regardes à partir de combien d'observations les deux moitiés se ressemblent. Le seuil, c'est le point où la stat devient reproductible. C'est mesurable, pas arbitraire.</w:t>
            </w:r>
          </w:p>
          <w:p>
            <w:pPr>
              <w:pStyle w:val="TextBody"/>
              <w:bidi w:val="0"/>
              <w:rPr/>
            </w:pPr>
            <w:r>
              <w:rPr>
                <w:rStyle w:val="StrongEmphasis"/>
              </w:rPr>
              <w:t>Étape 4 — laisser le modèle valider.</w:t>
            </w:r>
            <w:r>
              <w:rPr/>
              <w:t xml:space="preserve"> Au fond, le seuil est un hyperparamètre. Tu peux en tester plusieurs (10, 20, 30) et garder celui qui donne le meilleur modèle en validation. C'est cohérent avec ta démarche Optuna/MLflow : tu ne devines pas, tu compares.</w:t>
            </w:r>
          </w:p>
          <w:p>
            <w:pPr>
              <w:pStyle w:val="Normal"/>
              <w:spacing w:before="0" w:after="0"/>
              <w:rPr/>
            </w:pPr>
            <w:r>
              <w:rPr>
                <w:rFonts w:eastAsia="Calibri" w:cs="Calibri"/>
                <w:b w:val="false"/>
                <w:bCs w:val="false"/>
                <w:color w:val="1A1A2E"/>
                <w:sz w:val="18"/>
                <w:szCs w:val="18"/>
              </w:rPr>
              <w:t>.</w:t>
            </w:r>
          </w:p>
        </w:tc>
      </w:tr>
    </w:tbl>
    <w:p>
      <w:pPr>
        <w:pStyle w:val="Normal"/>
        <w:spacing w:before="0" w:after="120"/>
        <w:rPr/>
      </w:pPr>
      <w:r>
        <w:rPr/>
      </w:r>
    </w:p>
    <w:tbl>
      <w:tblPr>
        <w:tblW w:w="9200" w:type="dxa"/>
        <w:jc w:val="left"/>
        <w:tblInd w:w="0" w:type="dxa"/>
        <w:tblCellMar>
          <w:top w:w="70" w:type="dxa"/>
          <w:left w:w="90" w:type="dxa"/>
          <w:bottom w:w="70" w:type="dxa"/>
          <w:right w:w="90" w:type="dxa"/>
        </w:tblCellMar>
      </w:tblPr>
      <w:tblGrid>
        <w:gridCol w:w="2599"/>
        <w:gridCol w:w="6600"/>
      </w:tblGrid>
      <w:tr>
        <w:trPr/>
        <w:tc>
          <w:tcPr>
            <w:tcW w:w="9199" w:type="dxa"/>
            <w:gridSpan w:val="2"/>
            <w:tcBorders>
              <w:top w:val="single" w:sz="2" w:space="0" w:color="C9D2EA"/>
              <w:left w:val="single" w:sz="2" w:space="0" w:color="C9D2EA"/>
              <w:bottom w:val="single" w:sz="2" w:space="0" w:color="DCE2F2"/>
              <w:right w:val="single" w:sz="2" w:space="0" w:color="DCE2F2"/>
            </w:tcBorders>
            <w:shd w:color="auto" w:fill="002395" w:val="clear"/>
          </w:tcPr>
          <w:p>
            <w:pPr>
              <w:pStyle w:val="Normal"/>
              <w:rPr/>
            </w:pPr>
            <w:r>
              <w:rPr>
                <w:rFonts w:eastAsia="Consolas" w:cs="Consolas" w:ascii="Consolas" w:hAnsi="Consolas"/>
                <w:b/>
                <w:bCs/>
                <w:color w:val="FFFFFF"/>
                <w:sz w:val="20"/>
                <w:szCs w:val="20"/>
              </w:rPr>
              <w:t>profile_confidence_flag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Grain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joueur-zone-saison</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Définition</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Indicateur de fiabilité du profil (données propres suffisantes vs imputé par cluster) — transmis au modèle pour pondérer sa confiance.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Sources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compteurs d'observations des profils</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Classe temporelle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SEASON-LAG</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Zone / poste</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Modèles</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tous (méta-feature)</w:t>
            </w:r>
          </w:p>
        </w:tc>
      </w:tr>
      <w:tr>
        <w:trPr/>
        <w:tc>
          <w:tcPr>
            <w:tcW w:w="2599" w:type="dxa"/>
            <w:tcBorders>
              <w:top w:val="single" w:sz="2" w:space="0" w:color="DCE2F2"/>
              <w:left w:val="single" w:sz="2" w:space="0" w:color="C9D2EA"/>
              <w:bottom w:val="single" w:sz="2" w:space="0" w:color="DCE2F2"/>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Statut</w:t>
            </w:r>
          </w:p>
        </w:tc>
        <w:tc>
          <w:tcPr>
            <w:tcW w:w="6600" w:type="dxa"/>
            <w:tcBorders>
              <w:top w:val="single" w:sz="2" w:space="0" w:color="DCE2F2"/>
              <w:left w:val="single" w:sz="2" w:space="0" w:color="DCE2F2"/>
              <w:bottom w:val="single" w:sz="2" w:space="0" w:color="DCE2F2"/>
              <w:right w:val="single" w:sz="2" w:space="0" w:color="C9D2EA"/>
            </w:tcBorders>
            <w:shd w:fill="auto" w:val="clear"/>
            <w:tcMar>
              <w:top w:w="60" w:type="dxa"/>
              <w:bottom w:w="60" w:type="dxa"/>
            </w:tcMar>
          </w:tcPr>
          <w:p>
            <w:pPr>
              <w:pStyle w:val="Normal"/>
              <w:spacing w:before="0" w:after="0"/>
              <w:rPr/>
            </w:pPr>
            <w:r>
              <w:rPr>
                <w:rFonts w:eastAsia="Calibri" w:cs="Calibri"/>
                <w:b w:val="false"/>
                <w:bCs w:val="false"/>
                <w:color w:val="1A1A2E"/>
                <w:sz w:val="18"/>
                <w:szCs w:val="18"/>
              </w:rPr>
              <w:t>À CONSTRUIRE</w:t>
            </w:r>
          </w:p>
        </w:tc>
      </w:tr>
      <w:tr>
        <w:trPr/>
        <w:tc>
          <w:tcPr>
            <w:tcW w:w="2599" w:type="dxa"/>
            <w:tcBorders>
              <w:top w:val="single" w:sz="2" w:space="0" w:color="DCE2F2"/>
              <w:left w:val="single" w:sz="2" w:space="0" w:color="C9D2EA"/>
              <w:bottom w:val="single" w:sz="2" w:space="0" w:color="C9D2EA"/>
              <w:right w:val="single" w:sz="2" w:space="0" w:color="DCE2F2"/>
            </w:tcBorders>
            <w:shd w:color="auto" w:fill="E8ECF7" w:val="clear"/>
            <w:tcMar>
              <w:top w:w="60" w:type="dxa"/>
              <w:bottom w:w="60" w:type="dxa"/>
            </w:tcMar>
          </w:tcPr>
          <w:p>
            <w:pPr>
              <w:pStyle w:val="Normal"/>
              <w:spacing w:before="0" w:after="0"/>
              <w:rPr/>
            </w:pPr>
            <w:r>
              <w:rPr>
                <w:rFonts w:eastAsia="Calibri" w:cs="Calibri"/>
                <w:b/>
                <w:bCs/>
                <w:color w:val="1A1A2E"/>
                <w:sz w:val="18"/>
                <w:szCs w:val="18"/>
              </w:rPr>
              <w:t>Note</w:t>
            </w:r>
          </w:p>
        </w:tc>
        <w:tc>
          <w:tcPr>
            <w:tcW w:w="6600" w:type="dxa"/>
            <w:tcBorders>
              <w:top w:val="single" w:sz="2" w:space="0" w:color="DCE2F2"/>
              <w:left w:val="single" w:sz="2" w:space="0" w:color="DCE2F2"/>
              <w:bottom w:val="single" w:sz="2" w:space="0" w:color="C9D2EA"/>
              <w:right w:val="single" w:sz="2" w:space="0" w:color="C9D2EA"/>
            </w:tcBorders>
            <w:shd w:color="auto" w:fill="F4F6FB" w:val="clear"/>
            <w:tcMar>
              <w:top w:w="60" w:type="dxa"/>
              <w:bottom w:w="60" w:type="dxa"/>
            </w:tcMar>
          </w:tcPr>
          <w:p>
            <w:pPr>
              <w:pStyle w:val="Normal"/>
              <w:spacing w:before="0" w:after="0"/>
              <w:rPr/>
            </w:pPr>
            <w:r>
              <w:rPr>
                <w:rFonts w:eastAsia="Calibri" w:cs="Calibri"/>
                <w:b w:val="false"/>
                <w:bCs w:val="false"/>
                <w:color w:val="1A1A2E"/>
                <w:sz w:val="18"/>
                <w:szCs w:val="18"/>
              </w:rPr>
              <w:t>Bonne pratique : donner au modèle le signal que la feature est imputée plutôt que mesurée.</w:t>
            </w:r>
          </w:p>
        </w:tc>
      </w:tr>
    </w:tbl>
    <w:p>
      <w:pPr>
        <w:pStyle w:val="Normal"/>
        <w:spacing w:before="0" w:after="120"/>
        <w:rPr/>
      </w:pPr>
      <w:r>
        <w:rPr/>
      </w:r>
    </w:p>
    <w:p>
      <w:pPr>
        <w:pStyle w:val="Normal"/>
        <w:rPr/>
      </w:pPr>
      <w:r>
        <w:rPr/>
      </w:r>
      <w:r>
        <w:br w:type="page"/>
      </w:r>
    </w:p>
    <w:p>
      <w:pPr>
        <w:pStyle w:val="Heading1"/>
        <w:spacing w:before="360" w:after="160"/>
        <w:rPr/>
      </w:pPr>
      <w:r>
        <w:rPr>
          <w:rFonts w:eastAsia="Calibri" w:cs="Calibri" w:ascii="Calibri" w:hAnsi="Calibri"/>
          <w:b/>
          <w:bCs/>
          <w:color w:val="002395"/>
          <w:sz w:val="30"/>
          <w:szCs w:val="30"/>
        </w:rPr>
        <w:t>Annexe — Reportées en V2 (listées pour mémoire, hors chemin critique)</w:t>
      </w:r>
    </w:p>
    <w:p>
      <w:pPr>
        <w:pStyle w:val="Heading2"/>
        <w:spacing w:before="260" w:after="120"/>
        <w:rPr/>
      </w:pPr>
      <w:r>
        <w:rPr>
          <w:rFonts w:eastAsia="Calibri" w:cs="Calibri" w:ascii="Calibri" w:hAnsi="Calibri"/>
          <w:b/>
          <w:bCs/>
          <w:color w:val="1A1A2E"/>
          <w:sz w:val="26"/>
          <w:szCs w:val="26"/>
        </w:rPr>
        <w:t>Signal marché (cotes)</w:t>
      </w:r>
    </w:p>
    <w:p>
      <w:pPr>
        <w:pStyle w:val="Normal"/>
        <w:spacing w:before="0" w:after="120"/>
        <w:rPr/>
      </w:pPr>
      <w:r>
        <w:rPr>
          <w:rFonts w:eastAsia="Calibri" w:cs="Calibri"/>
          <w:color w:val="555555"/>
          <w:sz w:val="21"/>
          <w:szCs w:val="21"/>
        </w:rPr>
        <w:t>Colonnes odds_* / market_prob_* / pinnacle_prob_* déjà présentes dans backbone. Report SANS travail de construction : seule la DÉCISION D'ARCHITECTURE est différée — les cotes comme feature d'entrée (le modèle recopie le marché et ne peut plus le battre) VS comme référence de value (edge = proba modèle − proba marché). À trancher quand le socle tourne. Recommandation : garder les cotes hors du modèle et les réserver au calcul de value, cohérent avec l'objectif de value betting.</w:t>
      </w:r>
    </w:p>
    <w:p>
      <w:pPr>
        <w:pStyle w:val="Heading2"/>
        <w:spacing w:before="260" w:after="120"/>
        <w:rPr/>
      </w:pPr>
      <w:r>
        <w:rPr>
          <w:rFonts w:eastAsia="Calibri" w:cs="Calibri" w:ascii="Calibri" w:hAnsi="Calibri"/>
          <w:b/>
          <w:bCs/>
          <w:color w:val="1A1A2E"/>
          <w:sz w:val="26"/>
          <w:szCs w:val="26"/>
        </w:rPr>
        <w:t>ELO / classement &amp; force adverse</w:t>
      </w:r>
    </w:p>
    <w:p>
      <w:pPr>
        <w:pStyle w:val="Normal"/>
        <w:spacing w:before="0" w:after="120"/>
        <w:rPr/>
      </w:pPr>
      <w:r>
        <w:rPr>
          <w:rFonts w:eastAsia="Calibri" w:cs="Calibri"/>
          <w:color w:val="555555"/>
          <w:sz w:val="21"/>
          <w:szCs w:val="21"/>
        </w:rPr>
        <w:t>Aucune table ne porte de mesure de force globale d'équipe aujourd'hui. Nécessite un scraping dédié (classement) ou un calcul ELO à partir des résultats. Conséquence assumée en V1 : la force est inférée indirectement via forme (famille 2) et qualité du onze (famille 4).</w:t>
      </w:r>
    </w:p>
    <w:p>
      <w:pPr>
        <w:pStyle w:val="Heading2"/>
        <w:spacing w:before="260" w:after="120"/>
        <w:rPr/>
      </w:pPr>
      <w:r>
        <w:rPr>
          <w:rFonts w:eastAsia="Calibri" w:cs="Calibri" w:ascii="Calibri" w:hAnsi="Calibri"/>
          <w:b/>
          <w:bCs/>
          <w:color w:val="1A1A2E"/>
          <w:sz w:val="26"/>
          <w:szCs w:val="26"/>
        </w:rPr>
        <w:t>Réseau de passes / interactions coéquipiers</w:t>
      </w:r>
    </w:p>
    <w:p>
      <w:pPr>
        <w:pStyle w:val="Normal"/>
        <w:spacing w:before="0" w:after="120"/>
        <w:rPr/>
      </w:pPr>
      <w:r>
        <w:rPr>
          <w:rFonts w:eastAsia="Calibri" w:cs="Calibri"/>
          <w:color w:val="555555"/>
          <w:sz w:val="21"/>
          <w:szCs w:val="21"/>
        </w:rPr>
        <w:t>Le « point 2 » de l'exemple Olise (le 10 sert le 12). Tables prêtes (player_network_passes, player_network_centrality, player_network_betweenness, team_network_features) mais famille coûteuse et non indispensable au socle. Séduisante pour le portfolio, à activer une fois le 1N2 de base calibré et backtesté.</w:t>
      </w:r>
    </w:p>
    <w:p>
      <w:pPr>
        <w:pStyle w:val="Normal"/>
        <w:rPr/>
      </w:pPr>
      <w:r>
        <w:rPr/>
      </w:r>
      <w:r>
        <w:br w:type="page"/>
      </w:r>
    </w:p>
    <w:p>
      <w:pPr>
        <w:pStyle w:val="Heading1"/>
        <w:spacing w:before="360" w:after="160"/>
        <w:rPr/>
      </w:pPr>
      <w:r>
        <w:rPr>
          <w:rFonts w:eastAsia="Calibri" w:cs="Calibri" w:ascii="Calibri" w:hAnsi="Calibri"/>
          <w:b/>
          <w:bCs/>
          <w:color w:val="002395"/>
          <w:sz w:val="30"/>
          <w:szCs w:val="30"/>
        </w:rPr>
        <w:t>Points à trancher (synthèse pour la prochaine session)</w:t>
      </w:r>
    </w:p>
    <w:p>
      <w:pPr>
        <w:pStyle w:val="Normal"/>
        <w:spacing w:before="0" w:after="120"/>
        <w:rPr/>
      </w:pPr>
      <w:r>
        <w:rPr>
          <w:rFonts w:eastAsia="Calibri" w:cs="Calibri"/>
          <w:color w:val="555555"/>
          <w:sz w:val="21"/>
          <w:szCs w:val="21"/>
        </w:rPr>
        <w:t>Récapitulatif des décisions ouvertes signalées dans les notes, à arbitrer avant ou pendant l'implémentation :</w:t>
      </w:r>
    </w:p>
    <w:p>
      <w:pPr>
        <w:pStyle w:val="ListParagraph"/>
        <w:numPr>
          <w:ilvl w:val="0"/>
          <w:numId w:val="1"/>
        </w:numPr>
        <w:spacing w:before="0" w:after="80"/>
        <w:rPr/>
      </w:pPr>
      <w:r>
        <w:rPr>
          <w:rFonts w:eastAsia="Calibri" w:cs="Calibri"/>
          <w:color w:val="1A1A2E"/>
          <w:sz w:val="21"/>
          <w:szCs w:val="21"/>
        </w:rPr>
        <w:t>Fenêtres rolling retenues par feature (produire {3,5,10} et laisser la sélection trancher, ou fixer d'emblée).</w:t>
      </w:r>
    </w:p>
    <w:p>
      <w:pPr>
        <w:pStyle w:val="ListParagraph"/>
        <w:numPr>
          <w:ilvl w:val="0"/>
          <w:numId w:val="1"/>
        </w:numPr>
        <w:spacing w:before="0" w:after="80"/>
        <w:rPr/>
      </w:pPr>
      <w:r>
        <w:rPr>
          <w:rFonts w:eastAsia="Calibri" w:cs="Calibri"/>
          <w:color w:val="1A1A2E"/>
          <w:sz w:val="21"/>
          <w:szCs w:val="21"/>
        </w:rPr>
        <w:t>np_xg NULL hors Understat : imputation ou exclusion de la fenêtre rolling.</w:t>
      </w:r>
    </w:p>
    <w:p>
      <w:pPr>
        <w:pStyle w:val="ListParagraph"/>
        <w:numPr>
          <w:ilvl w:val="0"/>
          <w:numId w:val="1"/>
        </w:numPr>
        <w:spacing w:before="0" w:after="80"/>
        <w:rPr/>
      </w:pPr>
      <w:r>
        <w:rPr>
          <w:rFonts w:eastAsia="Calibri" w:cs="Calibri"/>
          <w:color w:val="1A1A2E"/>
          <w:sz w:val="21"/>
          <w:szCs w:val="21"/>
        </w:rPr>
        <w:t>Définition de « titulaire habituel » pour n_key_starters_missing (seuil de présence).</w:t>
      </w:r>
    </w:p>
    <w:p>
      <w:pPr>
        <w:pStyle w:val="ListParagraph"/>
        <w:numPr>
          <w:ilvl w:val="0"/>
          <w:numId w:val="1"/>
        </w:numPr>
        <w:spacing w:before="0" w:after="80"/>
        <w:rPr/>
      </w:pPr>
      <w:r>
        <w:rPr>
          <w:rFonts w:eastAsia="Calibri" w:cs="Calibri"/>
          <w:color w:val="1A1A2E"/>
          <w:sz w:val="21"/>
          <w:szCs w:val="21"/>
        </w:rPr>
        <w:t>Forme du score de confrontation zonale (produit menace×vulnérabilité, ratio, ou différence normalisée).</w:t>
      </w:r>
    </w:p>
    <w:p>
      <w:pPr>
        <w:pStyle w:val="ListParagraph"/>
        <w:numPr>
          <w:ilvl w:val="0"/>
          <w:numId w:val="1"/>
        </w:numPr>
        <w:spacing w:before="0" w:after="80"/>
        <w:rPr/>
      </w:pPr>
      <w:r>
        <w:rPr>
          <w:rFonts w:eastAsia="Calibri" w:cs="Calibri"/>
          <w:color w:val="1A1A2E"/>
          <w:sz w:val="21"/>
          <w:szCs w:val="21"/>
        </w:rPr>
        <w:t>Résolution des confrontations : 3×3 (retenu) — confirmer que les profils individuels restent en 5×5 fin.</w:t>
      </w:r>
    </w:p>
    <w:p>
      <w:pPr>
        <w:pStyle w:val="ListParagraph"/>
        <w:numPr>
          <w:ilvl w:val="0"/>
          <w:numId w:val="1"/>
        </w:numPr>
        <w:spacing w:before="0" w:after="80"/>
        <w:rPr/>
      </w:pPr>
      <w:r>
        <w:rPr>
          <w:rFonts w:eastAsia="Calibri" w:cs="Calibri"/>
          <w:color w:val="1A1A2E"/>
          <w:sz w:val="21"/>
          <w:szCs w:val="21"/>
        </w:rPr>
        <w:t>Clustering : liste exacte des dimensions et nombre de clusters, par espace de similarité (offensif / défensif).</w:t>
      </w:r>
    </w:p>
    <w:p>
      <w:pPr>
        <w:pStyle w:val="ListParagraph"/>
        <w:numPr>
          <w:ilvl w:val="0"/>
          <w:numId w:val="1"/>
        </w:numPr>
        <w:spacing w:before="0" w:after="80"/>
        <w:rPr/>
      </w:pPr>
      <w:r>
        <w:rPr>
          <w:rFonts w:eastAsia="Calibri" w:cs="Calibri"/>
          <w:color w:val="1A1A2E"/>
          <w:sz w:val="21"/>
          <w:szCs w:val="21"/>
        </w:rPr>
        <w:t>V2 marché : cotes en feature d'entrée vs référence de value (recommandation : hors modèle).</w:t>
      </w:r>
    </w:p>
    <w:sectPr>
      <w:type w:val="continuous"/>
      <w:pgSz w:w="11906" w:h="16838"/>
      <w:pgMar w:left="1100" w:right="1100" w:header="0" w:top="1000" w:footer="0" w:bottom="1000" w:gutter="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ourier New">
    <w:charset w:val="00"/>
    <w:family w:val="modern"/>
    <w:pitch w:val="fixed"/>
  </w:font>
  <w:font w:name="Consolas">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200"/>
      </w:pPr>
      <w:rPr>
        <w:rFonts w:ascii="Symbol" w:hAnsi="Symbol" w:cs="Symbol" w:hint="default"/>
      </w:rPr>
    </w:lvl>
    <w:lvl w:ilvl="1">
      <w:start w:val="1"/>
      <w:numFmt w:val="bullet"/>
      <w:lvlText w:val=""/>
      <w:lvlJc w:val="left"/>
      <w:pPr>
        <w:ind w:left="720" w:hanging="20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2E"/>
        <w:sz w:val="21"/>
        <w:szCs w:val="21"/>
        <w:lang w:val="fr-FR" w:eastAsia="zh-CN" w:bidi="hi-IN"/>
      </w:rPr>
    </w:rPrDefault>
    <w:pPrDefault>
      <w:pPr/>
    </w:pPrDefault>
  </w:docDefaults>
  <w:style w:type="paragraph" w:styleId="Normal">
    <w:name w:val="Normal"/>
    <w:qFormat/>
    <w:pPr>
      <w:widowControl/>
      <w:bidi w:val="0"/>
      <w:jc w:val="left"/>
    </w:pPr>
    <w:rPr>
      <w:rFonts w:ascii="Calibri" w:hAnsi="Calibri" w:eastAsia="Calibri" w:cs="Calibri"/>
      <w:color w:val="1A1A2E"/>
      <w:kern w:val="0"/>
      <w:sz w:val="21"/>
      <w:szCs w:val="21"/>
      <w:lang w:val="fr-F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Courier New" w:hAnsi="Courier New" w:eastAsia="NSimSun" w:cs="Courier New"/>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jc w:val="left"/>
    </w:pPr>
    <w:rPr>
      <w:rFonts w:ascii="Calibri" w:hAnsi="Calibri" w:eastAsia="Calibri" w:cs="Calibri"/>
      <w:b/>
      <w:bCs/>
      <w:color w:val="1A1A2E"/>
      <w:kern w:val="0"/>
      <w:sz w:val="21"/>
      <w:szCs w:val="21"/>
      <w:lang w:val="fr-FR" w:eastAsia="zh-CN" w:bidi="hi-IN"/>
    </w:rPr>
  </w:style>
  <w:style w:type="paragraph" w:styleId="ListParagraph">
    <w:name w:val="List Paragraph"/>
    <w:qFormat/>
    <w:pPr>
      <w:widowControl/>
      <w:bidi w:val="0"/>
      <w:jc w:val="left"/>
    </w:pPr>
    <w:rPr>
      <w:rFonts w:ascii="Calibri" w:hAnsi="Calibri" w:eastAsia="Calibri" w:cs="Calibri"/>
      <w:color w:val="1A1A2E"/>
      <w:kern w:val="0"/>
      <w:sz w:val="21"/>
      <w:szCs w:val="21"/>
      <w:lang w:val="fr-FR"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Trio_Office/6.2.8.2$Windows_x86 LibreOffice_project/</Application>
  <Pages>34</Pages>
  <Words>6319</Words>
  <Characters>40045</Characters>
  <CharactersWithSpaces>45152</CharactersWithSpaces>
  <Paragraphs>1374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2026-08-06T11:50:08Z</dcterms:created>
  <dc:creator>Projet 3-Étoiles</dc:creator>
  <dc:description/>
  <dc:language>fr-FR</dc:language>
  <cp:lastModifiedBy/>
  <dcterms:modified xsi:type="dcterms:W3CDTF">2026-08-06T14:11:01Z</dcterms:modified>
  <cp:revision>2</cp:revision>
  <dc:subject/>
  <dc:title>Cahier des charges des features Gold</dc:title>
</cp:coreProperties>
</file>