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11</w:t>
      </w:r>
    </w:p>
    <w:p>
      <w:pPr>
        <w:pStyle w:val="Heading2"/>
        <w:spacing w:before="220" w:after="100"/>
      </w:pPr>
      <w:r>
        <w:rPr>
          <w:rFonts w:ascii="Calibri" w:hAnsi="Calibri"/>
          <w:b/>
          <w:sz w:val="28"/>
          <w:color w:val="2C5E8A"/>
        </w:rPr>
        <w:t>Interpreting Theological Shorthand</w:t>
      </w:r>
    </w:p>
    <w:p>
      <w:pPr>
        <w:spacing w:after="140" w:line="276" w:lineRule="auto"/>
      </w:pPr>
      <w:r>
        <w:rPr>
          <w:rFonts w:ascii="Calibri" w:hAnsi="Calibri"/>
          <w:sz w:val="22"/>
          <w:color w:val="222222"/>
        </w:rPr>
        <w:t xml:space="preserve">The New Testament Epistles are fundamentally packed texts; they are "punchline" statements summarizing vast, intricate Old Testament narratives. When we encounter words like redemption, righteousness, flesh, or eternal life in the Epistles, we must resist the temptation to define them using merely our modern English dictionaries or contemporary cultural assumptions. Instead, we must unpack the narrative behind the words. A failure to trace the vocabulary of the New Testament back to its foundational Old Testament stories will invariably result in a disjointed and potentially contradictory theology.</w:t>
      </w:r>
    </w:p>
    <w:p>
      <w:pPr>
        <w:spacing w:after="140" w:line="276" w:lineRule="auto"/>
      </w:pPr>
      <w:r>
        <w:rPr>
          <w:rFonts w:ascii="Calibri" w:hAnsi="Calibri"/>
          <w:sz w:val="22"/>
          <w:color w:val="222222"/>
        </w:rPr>
        <w:t xml:space="preserve">Consider the concept of "eternal life" (Greek: </w:t>
      </w:r>
      <w:r>
        <w:rPr>
          <w:rFonts w:ascii="Calibri" w:hAnsi="Calibri"/>
          <w:i/>
          <w:sz w:val="22"/>
          <w:color w:val="222222"/>
        </w:rPr>
        <w:t xml:space="preserve">aionion zoe</w:t>
      </w:r>
      <w:r>
        <w:rPr>
          <w:rFonts w:ascii="Calibri" w:hAnsi="Calibri"/>
          <w:sz w:val="22"/>
          <w:color w:val="222222"/>
        </w:rPr>
        <w:t xml:space="preserve">). Today, eternal life is commonly misconstrued simply as living forever after physical death. However, in the context of the Scriptures, </w:t>
      </w:r>
      <w:r>
        <w:rPr>
          <w:rFonts w:ascii="Calibri" w:hAnsi="Calibri"/>
          <w:i/>
          <w:sz w:val="22"/>
          <w:color w:val="222222"/>
        </w:rPr>
        <w:t xml:space="preserve">aion</w:t>
      </w:r>
      <w:r>
        <w:rPr>
          <w:rFonts w:ascii="Calibri" w:hAnsi="Calibri"/>
          <w:sz w:val="22"/>
          <w:color w:val="222222"/>
        </w:rPr>
        <w:t xml:space="preserve"> refers to an age or a designated time, and </w:t>
      </w:r>
      <w:r>
        <w:rPr>
          <w:rFonts w:ascii="Calibri" w:hAnsi="Calibri"/>
          <w:i/>
          <w:sz w:val="22"/>
          <w:color w:val="222222"/>
        </w:rPr>
        <w:t xml:space="preserve">zoe</w:t>
      </w:r>
      <w:r>
        <w:rPr>
          <w:rFonts w:ascii="Calibri" w:hAnsi="Calibri"/>
          <w:sz w:val="22"/>
          <w:color w:val="222222"/>
        </w:rPr>
        <w:t xml:space="preserve"> refers to life. Therefore, eternal life is more accurately translated as "the life of the age to come"—the promised, prophesied age of the Spirit. The New Testament reveals the intersection of two distinct ages: the present age of the flesh, influenced by the "god of this world," and the prophesied age to come, which has now been inaugurated by the arrival of Jesus Christ and the giving of the Holy Spirit. If one "sows to the flesh, he will reap corruption," but if he "sows to the Spirit, he will of the Spirit reap the life of the age to come."</w:t>
      </w:r>
    </w:p>
    <w:p>
      <w:pPr>
        <w:spacing w:after="140" w:line="276" w:lineRule="auto"/>
      </w:pPr>
      <w:r>
        <w:rPr>
          <w:rFonts w:ascii="Calibri" w:hAnsi="Calibri"/>
          <w:sz w:val="22"/>
          <w:color w:val="222222"/>
        </w:rPr>
        <w:t xml:space="preserve">Another profound example is the word "son." In modern culture, a son simply refers to a male child. However, when Moses referred to Israel as God's "firstborn son," he was employing terminology from the Egyptian culture, where the firstborn son was the heir to the throne and the inheritance. The concept of sonship in Scripture is intrinsically linked to inheritance. When John refers to Jesus as the "only begotten Son" (</w:t>
      </w:r>
      <w:r>
        <w:rPr>
          <w:rFonts w:ascii="Calibri" w:hAnsi="Calibri"/>
          <w:i/>
          <w:sz w:val="22"/>
          <w:color w:val="222222"/>
        </w:rPr>
        <w:t xml:space="preserve">monogenes</w:t>
      </w:r>
      <w:r>
        <w:rPr>
          <w:rFonts w:ascii="Calibri" w:hAnsi="Calibri"/>
          <w:sz w:val="22"/>
          <w:color w:val="222222"/>
        </w:rPr>
        <w:t xml:space="preserve">), he is pointing to Christ as the unique, ultimate Heir of all the promises and prophecies. Paul expands on this by explaining that believers, who were once "children" under the bondage of the elements of the world, have now received the "Spirit of adoption" (the placement as sons) and are therefore heirs of God through Christ. The narrative of the Exodus and the inheritance of the Promised Land is the backdrop for our understanding of spiritual sonship.</w:t>
      </w:r>
    </w:p>
    <w:p>
      <w:pPr>
        <w:pStyle w:val="Heading2"/>
        <w:spacing w:before="220" w:after="100"/>
      </w:pPr>
      <w:r>
        <w:rPr>
          <w:rFonts w:ascii="Calibri" w:hAnsi="Calibri"/>
          <w:b/>
          <w:sz w:val="28"/>
          <w:color w:val="2C5E8A"/>
        </w:rPr>
        <w:t>The Unity of the Testaments</w:t>
      </w:r>
    </w:p>
    <w:p>
      <w:pPr>
        <w:spacing w:after="140" w:line="276" w:lineRule="auto"/>
      </w:pPr>
      <w:r>
        <w:rPr>
          <w:rFonts w:ascii="Calibri" w:hAnsi="Calibri"/>
          <w:sz w:val="22"/>
          <w:color w:val="222222"/>
        </w:rPr>
        <w:t xml:space="preserve">A very dangerous and prevalent error in modern Christianity is the arbitrary dichotomy between the Old and New Testaments. Some teach that the Old Testament is the dispensation of the Law (where God was harsh and demanding) and the New Testament is the dispensation of Grace (where God is entirely different). This perspective suggests that Jesus came to correct a flawed or false impression of God found in the Old Testament. Such theology implies that God's character changed, which is a catastrophic contradiction that gives atheists ample grounds to mock the faith.</w:t>
      </w:r>
    </w:p>
    <w:p>
      <w:pPr>
        <w:spacing w:after="140" w:line="276" w:lineRule="auto"/>
      </w:pPr>
      <w:r>
        <w:rPr>
          <w:rFonts w:ascii="Calibri" w:hAnsi="Calibri"/>
          <w:sz w:val="22"/>
          <w:color w:val="222222"/>
        </w:rPr>
        <w:t xml:space="preserve">The truth is that theology is immutable. While the historical circumstances, the immediate audience, and the cultural grammar differ between the Old Testament and the New Testament, the theology—the revelation of God's character and His redemptive plan—remains entirely consistent. The New Testament writers did not invalidate the Old Testament; they interpreted it. They extracted the unchanging theological truth from its ancient historical context and applied it to their contemporary Gentile audience. The Old Testament and the New Testament rise and fall together. To teach the New Testament without deeply anchoring it in the Old Testament is to present an anemic, historically untethered theology.</w:t>
      </w:r>
    </w:p>
    <w:p>
      <w:pPr>
        <w:spacing w:after="140" w:line="276" w:lineRule="auto"/>
      </w:pPr>
      <w:r>
        <w:rPr>
          <w:rFonts w:ascii="Calibri" w:hAnsi="Calibri"/>
          <w:sz w:val="22"/>
          <w:color w:val="222222"/>
        </w:rPr>
        <w:t xml:space="preserve">Christ Himself is the supreme authority of the Scriptures, and He validates them. He expounded the things concerning Himself "beginning at Moses and all the prophets." Therefore, faith in Christ demands faith in the Scriptures that testify of Him. A student of the Word must meticulously search the Scriptures, unearthing how the ancient promises to a specific nation (Israel) find their fulfillment in a specific person (Christ) and subsequently hold eschatological implications for the entire world (the Church).</w:t>
      </w:r>
    </w:p>
    <w:p>
      <w:pPr>
        <w:spacing w:after="140" w:line="276" w:lineRule="auto"/>
      </w:pPr>
      <w:r>
        <w:rPr>
          <w:rFonts w:ascii="Calibri" w:hAnsi="Calibri"/>
          <w:b/>
          <w:sz w:val="22"/>
          <w:color w:val="222222"/>
        </w:rPr>
        <w:t xml:space="preserve">Luke 24:25-27</w:t>
      </w:r>
    </w:p>
    <w:p>
      <w:pPr>
        <w:ind w:left="500"/>
        <w:spacing w:before="60" w:after="100"/>
      </w:pPr>
      <w:r>
        <w:rPr>
          <w:rFonts w:ascii="Calibri" w:hAnsi="Calibri"/>
          <w:b/>
          <w:sz w:val="21"/>
          <w:color w:val="1F497D"/>
        </w:rPr>
        <w:t xml:space="preserve">[25] </w:t>
      </w:r>
      <w:r>
        <w:rPr>
          <w:rFonts w:ascii="Calibri" w:hAnsi="Calibri"/>
          <w:sz w:val="21"/>
          <w:color w:val="1B365D"/>
        </w:rPr>
        <w:t xml:space="preserve">Then he said unto them, O fools, and slow of heart to believe all that the prophets have spoken:</w:t>
      </w:r>
    </w:p>
    <w:p>
      <w:pPr>
        <w:ind w:left="500"/>
        <w:spacing w:before="60" w:after="100"/>
      </w:pPr>
      <w:r>
        <w:rPr>
          <w:rFonts w:ascii="Calibri" w:hAnsi="Calibri"/>
          <w:b/>
          <w:sz w:val="21"/>
          <w:color w:val="1F497D"/>
        </w:rPr>
        <w:t xml:space="preserve">[26] </w:t>
      </w:r>
      <w:r>
        <w:rPr>
          <w:rFonts w:ascii="Calibri" w:hAnsi="Calibri"/>
          <w:sz w:val="21"/>
          <w:color w:val="1B365D"/>
        </w:rPr>
        <w:t xml:space="preserve">Ought not Christ to have suffered these things, and to enter into his glory?</w:t>
      </w:r>
    </w:p>
    <w:p>
      <w:pPr>
        <w:ind w:left="500"/>
        <w:spacing w:before="60" w:after="100"/>
      </w:pPr>
      <w:r>
        <w:rPr>
          <w:rFonts w:ascii="Calibri" w:hAnsi="Calibri"/>
          <w:b/>
          <w:sz w:val="21"/>
          <w:color w:val="1F497D"/>
        </w:rPr>
        <w:t xml:space="preserve">[27] </w:t>
      </w:r>
      <w:r>
        <w:rPr>
          <w:rFonts w:ascii="Calibri" w:hAnsi="Calibri"/>
          <w:sz w:val="21"/>
          <w:color w:val="1B365D"/>
        </w:rPr>
        <w:t xml:space="preserve">And beginning at Moses and all the prophets, he expounded unto them in all the scriptures the things concerning himself.</w:t>
      </w:r>
    </w:p>
    <w:p>
      <w:pPr>
        <w:pStyle w:val="Heading2"/>
        <w:spacing w:before="220" w:after="100"/>
      </w:pPr>
      <w:r>
        <w:rPr>
          <w:rFonts w:ascii="Calibri" w:hAnsi="Calibri"/>
          <w:b/>
          <w:sz w:val="28"/>
          <w:color w:val="2C5E8A"/>
        </w:rPr>
        <w:t>The Imagery of Job and the Work of the Spirit</w:t>
      </w:r>
    </w:p>
    <w:p>
      <w:pPr>
        <w:spacing w:after="140" w:line="276" w:lineRule="auto"/>
      </w:pPr>
      <w:r>
        <w:rPr>
          <w:rFonts w:ascii="Calibri" w:hAnsi="Calibri"/>
          <w:sz w:val="22"/>
          <w:color w:val="222222"/>
        </w:rPr>
        <w:t xml:space="preserve">We must also be careful with the vocabulary used in Bible translation. For instance, John 16:8 states that the Holy Spirit will "reprove" or "convict" the world of sin. In modern English, "convict" carries a heavily negative, judicial connotation—like a judge sentencing a criminal to hang. However, the Greek word </w:t>
      </w:r>
      <w:r>
        <w:rPr>
          <w:rFonts w:ascii="Calibri" w:hAnsi="Calibri"/>
          <w:i/>
          <w:sz w:val="22"/>
          <w:color w:val="222222"/>
        </w:rPr>
        <w:t xml:space="preserve">elencho</w:t>
      </w:r>
      <w:r>
        <w:rPr>
          <w:rFonts w:ascii="Calibri" w:hAnsi="Calibri"/>
          <w:sz w:val="22"/>
          <w:color w:val="222222"/>
        </w:rPr>
        <w:t xml:space="preserve"> implies presenting evidence to persuade or convince. The Torah and the Prophets were originally written to persuade an unbelieving world, and the Holy Spirit uses the Scriptures to bring conviction that leads to faith, not mere condemnation that leads to despair.</w:t>
      </w:r>
    </w:p>
    <w:p>
      <w:pPr>
        <w:spacing w:after="140" w:line="276" w:lineRule="auto"/>
      </w:pPr>
      <w:r>
        <w:rPr>
          <w:rFonts w:ascii="Calibri" w:hAnsi="Calibri"/>
          <w:sz w:val="22"/>
          <w:color w:val="222222"/>
        </w:rPr>
        <w:t xml:space="preserve">The necessity of understanding ancient literary forms is vividly illustrated in the Book of Job, which is likely the oldest writing in the Old Testament (penned by Moses) and is profoundly poetic. Many readers misinterpret Job by reading its highly symbolic poetry as straightforward historical prose. The dialogue between God and "the Satan" (the accuser) is a poetic device representing the presence of an accuser and the trial of Job's faith. It is crucial to note that when God finally answers Job out of the whirlwind, He does not defend Himself against the accusation that He caused Job's suffering. Instead, God points Job back to Genesis—to the foundation of the earth. God asks Job where he was when the earth was formed, rhetorically instructing Job to look to the origin of creation to understand the true source of death and evil. Job ultimately repents of his ignorant presumptions about God's nature.</w:t>
      </w:r>
    </w:p>
    <w:p>
      <w:pPr>
        <w:spacing w:after="140" w:line="276" w:lineRule="auto"/>
      </w:pPr>
      <w:r>
        <w:rPr>
          <w:rFonts w:ascii="Calibri" w:hAnsi="Calibri"/>
          <w:sz w:val="22"/>
          <w:color w:val="222222"/>
        </w:rPr>
        <w:t xml:space="preserve">This demands a high level of diligence from the modern teacher of the Scriptures. We must not be intellectually lazy, lifting verses out of context or assuming that the Holy Spirit will automatically grant us the meaning of a text while bypassing rigorous study. We must respect the Scriptures as sacred literature, diligently seeking the original context, understanding the linguistic tools employed by the authors, and unifying the text through systematic theology.</w:t>
      </w:r>
    </w:p>
    <w:p>
      <w:pPr>
        <w:spacing w:after="140" w:line="276" w:lineRule="auto"/>
      </w:pPr>
      <w:r>
        <w:rPr>
          <w:rFonts w:ascii="Calibri" w:hAnsi="Calibri"/>
          <w:b/>
          <w:sz w:val="22"/>
          <w:color w:val="222222"/>
        </w:rPr>
        <w:t xml:space="preserve">Job 38:1-4</w:t>
      </w:r>
    </w:p>
    <w:p>
      <w:pPr>
        <w:ind w:left="500"/>
        <w:spacing w:before="60" w:after="100"/>
      </w:pPr>
      <w:r>
        <w:rPr>
          <w:rFonts w:ascii="Calibri" w:hAnsi="Calibri"/>
          <w:b/>
          <w:sz w:val="21"/>
          <w:color w:val="1F497D"/>
        </w:rPr>
        <w:t xml:space="preserve">[1] </w:t>
      </w:r>
      <w:r>
        <w:rPr>
          <w:rFonts w:ascii="Calibri" w:hAnsi="Calibri"/>
          <w:sz w:val="21"/>
          <w:color w:val="1B365D"/>
        </w:rPr>
        <w:t xml:space="preserve">Then the LORD answered Job out of the whirlwind, and said,</w:t>
      </w:r>
    </w:p>
    <w:p>
      <w:pPr>
        <w:ind w:left="500"/>
        <w:spacing w:before="60" w:after="100"/>
      </w:pPr>
      <w:r>
        <w:rPr>
          <w:rFonts w:ascii="Calibri" w:hAnsi="Calibri"/>
          <w:b/>
          <w:sz w:val="21"/>
          <w:color w:val="1F497D"/>
        </w:rPr>
        <w:t xml:space="preserve">[2] </w:t>
      </w:r>
      <w:r>
        <w:rPr>
          <w:rFonts w:ascii="Calibri" w:hAnsi="Calibri"/>
          <w:sz w:val="21"/>
          <w:color w:val="1B365D"/>
        </w:rPr>
        <w:t xml:space="preserve">Who is this that darkeneth counsel by words without knowledge?</w:t>
      </w:r>
    </w:p>
    <w:p>
      <w:pPr>
        <w:ind w:left="500"/>
        <w:spacing w:before="60" w:after="100"/>
      </w:pPr>
      <w:r>
        <w:rPr>
          <w:rFonts w:ascii="Calibri" w:hAnsi="Calibri"/>
          <w:b/>
          <w:sz w:val="21"/>
          <w:color w:val="1F497D"/>
        </w:rPr>
        <w:t xml:space="preserve">[3] </w:t>
      </w:r>
      <w:r>
        <w:rPr>
          <w:rFonts w:ascii="Calibri" w:hAnsi="Calibri"/>
          <w:sz w:val="21"/>
          <w:color w:val="1B365D"/>
        </w:rPr>
        <w:t xml:space="preserve">Gird up now thy loins like a man; for I will demand of thee, and answer thou me.</w:t>
      </w:r>
    </w:p>
    <w:p>
      <w:pPr>
        <w:ind w:left="500"/>
        <w:spacing w:before="60" w:after="100"/>
      </w:pPr>
      <w:r>
        <w:rPr>
          <w:rFonts w:ascii="Calibri" w:hAnsi="Calibri"/>
          <w:b/>
          <w:sz w:val="21"/>
          <w:color w:val="1F497D"/>
        </w:rPr>
        <w:t xml:space="preserve">[4] </w:t>
      </w:r>
      <w:r>
        <w:rPr>
          <w:rFonts w:ascii="Calibri" w:hAnsi="Calibri"/>
          <w:sz w:val="21"/>
          <w:color w:val="1B365D"/>
        </w:rPr>
        <w:t xml:space="preserve">Where wast thou when I laid the foundations of the earth? declare, if thou hast understanding.</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