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12</w:t>
      </w:r>
    </w:p>
    <w:p>
      <w:pPr>
        <w:pStyle w:val="Heading2"/>
        <w:spacing w:before="220" w:after="100"/>
      </w:pPr>
      <w:r>
        <w:rPr>
          <w:rFonts w:ascii="Calibri" w:hAnsi="Calibri"/>
          <w:b/>
          <w:sz w:val="28"/>
          <w:color w:val="2C5E8A"/>
        </w:rPr>
        <w:t>The Teacher's Responsibility and Translation Bias</w:t>
      </w:r>
    </w:p>
    <w:p>
      <w:pPr>
        <w:spacing w:after="140" w:line="276" w:lineRule="auto"/>
      </w:pPr>
      <w:r>
        <w:rPr>
          <w:rFonts w:ascii="Calibri" w:hAnsi="Calibri"/>
          <w:sz w:val="22"/>
          <w:color w:val="222222"/>
        </w:rPr>
        <w:t xml:space="preserve">The Book of Nehemiah provides a profound template for the ministry of teaching when it records that Ezra and the Levites read from the Book of the Law of God distinctly, giving the sense, and causing the people to understand the reading. The responsibility of the teacher is monumental. One cannot approach the Scriptures with an attitude of haste or a flippant assumption that reading the text at face value is sufficient. To teach the Scriptures accurately, a minister must act as both an interpreter and a translator, painstakingly unearthing the historical, cultural, and linguistic context of the authors. A failure to diligently pursue this systemic study often results in the propagation of erroneous and destructive theology.</w:t>
      </w:r>
    </w:p>
    <w:p>
      <w:pPr>
        <w:spacing w:after="140" w:line="276" w:lineRule="auto"/>
      </w:pPr>
      <w:r>
        <w:rPr>
          <w:rFonts w:ascii="Calibri" w:hAnsi="Calibri"/>
          <w:sz w:val="22"/>
          <w:color w:val="222222"/>
        </w:rPr>
        <w:t xml:space="preserve">It is a sobering reality that there is no translation of the Bible completely devoid of the translator's bias. When we elevate a specific English translation (like the King James Version) to the level of flawless inspiration, we inadvertently adopt the theological predispositions of those translators. For instance, the insertion of italicized words often reveals a theological leaning. Certain translations, influenced heavily by Calvinistic doctrines of hyper-sovereignty and total depravity, have consistently translated ambiguous ancient texts to suggest that God is the active instigator of all events, both good and evil. They have superimposed a rigid English volition upon ancient Hebrew syntax, drastically altering the character of God in the minds of the readers.</w:t>
      </w:r>
    </w:p>
    <w:p>
      <w:pPr>
        <w:spacing w:after="140" w:line="276" w:lineRule="auto"/>
      </w:pPr>
      <w:r>
        <w:rPr>
          <w:rFonts w:ascii="Calibri" w:hAnsi="Calibri"/>
          <w:sz w:val="22"/>
          <w:color w:val="222222"/>
        </w:rPr>
        <w:t xml:space="preserve">The student of the Word must recognize that what we call the "Word of God" is fundamentally the revelation of God communicated through the language of men. If we do not understand the idiosyncrasies of that human language—specifically the ancient Near Eastern culture and its distinct grammar—we will construct an unbiblical image of the Almighty. The early apostles, when reading the Old Testament, understood these nuances, which is why their theology of God's absolute goodness, perfectly revealed in Christ, never wavered despite the seemingly harsh texts of the Old Covenant.</w:t>
      </w:r>
    </w:p>
    <w:p>
      <w:pPr>
        <w:spacing w:after="140" w:line="276" w:lineRule="auto"/>
      </w:pPr>
      <w:r>
        <w:rPr>
          <w:rFonts w:ascii="Calibri" w:hAnsi="Calibri"/>
          <w:b/>
          <w:sz w:val="22"/>
          <w:color w:val="222222"/>
        </w:rPr>
        <w:t xml:space="preserve">Nehemiah 8:8</w:t>
      </w:r>
    </w:p>
    <w:p>
      <w:pPr>
        <w:ind w:left="500"/>
        <w:spacing w:before="60" w:after="100"/>
      </w:pPr>
      <w:r>
        <w:rPr>
          <w:rFonts w:ascii="Calibri" w:hAnsi="Calibri"/>
          <w:b/>
          <w:sz w:val="21"/>
          <w:color w:val="1F497D"/>
        </w:rPr>
        <w:t xml:space="preserve">[8] </w:t>
      </w:r>
      <w:r>
        <w:rPr>
          <w:rFonts w:ascii="Calibri" w:hAnsi="Calibri"/>
          <w:sz w:val="21"/>
          <w:color w:val="1B365D"/>
        </w:rPr>
        <w:t xml:space="preserve">So they read in the book in the law of God distinctly, and gave the sense, and caused them to understand the reading.</w:t>
      </w:r>
    </w:p>
    <w:p>
      <w:pPr>
        <w:pStyle w:val="Heading2"/>
        <w:spacing w:before="220" w:after="100"/>
      </w:pPr>
      <w:r>
        <w:rPr>
          <w:rFonts w:ascii="Calibri" w:hAnsi="Calibri"/>
          <w:b/>
          <w:sz w:val="28"/>
          <w:color w:val="2C5E8A"/>
        </w:rPr>
        <w:t>Understanding Hebraisms: The Permissive Tense</w:t>
      </w:r>
    </w:p>
    <w:p>
      <w:pPr>
        <w:spacing w:after="140" w:line="276" w:lineRule="auto"/>
      </w:pPr>
      <w:r>
        <w:rPr>
          <w:rFonts w:ascii="Calibri" w:hAnsi="Calibri"/>
          <w:sz w:val="22"/>
          <w:color w:val="222222"/>
        </w:rPr>
        <w:t xml:space="preserve">A crucial key to unlocking the Old Testament is understanding "Hebraisms"—the idiomatic expressions, thought patterns, and communication styles indigenous to the ancient Hebrew people. One of the most significant and frequently misunderstood aspects of ancient Hebrew is its use of tenses, particularly the blurring of cognitive and volitive tenses. In modern English, we strongly distinguish between what we know will happen (cognition) and what we actively make happen (volition). However, the ancient Hebrew language often utilized active, causative verbs to describe permissive or cognitive realities.</w:t>
      </w:r>
    </w:p>
    <w:p>
      <w:pPr>
        <w:spacing w:after="140" w:line="276" w:lineRule="auto"/>
      </w:pPr>
      <w:r>
        <w:rPr>
          <w:rFonts w:ascii="Calibri" w:hAnsi="Calibri"/>
          <w:sz w:val="22"/>
          <w:color w:val="222222"/>
        </w:rPr>
        <w:t xml:space="preserve">Consequently, when the King James Version repeatedly quotes God saying, "I will cause," "I will send," or "I will bring" regarding disaster, famine, invading armies, or wild beasts, it is employing an active English verb for what was originally a permissive Hebrew idiom. It does not mean God actively desired, planned, or executed the evil. Rather, it means God permitted it; He foresaw it and allowed it to occur as the natural consequence of Israel's disobedience. To read these verses as God actively afflicting humanity is to read modern grammatical rules into an ancient text, producing a catastrophic theological error that contradicts the revelation of God in Christ.</w:t>
      </w:r>
    </w:p>
    <w:p>
      <w:pPr>
        <w:spacing w:after="140" w:line="276" w:lineRule="auto"/>
      </w:pPr>
      <w:r>
        <w:rPr>
          <w:rFonts w:ascii="Calibri" w:hAnsi="Calibri"/>
          <w:sz w:val="22"/>
          <w:color w:val="222222"/>
        </w:rPr>
        <w:t xml:space="preserve">When we trace the origin of human suffering back to the foundational narrative of Genesis, we see this dynamic clearly. In Genesis 2 and 3, God warned Adam of the consequences of sin, yet He did not actively cause the serpent to deceive Eve, nor did He force Adam to eat the fruit. God permitted the event, watching as humanity rebelled. God's posture toward human sin and its resulting devastation is not one of a vindictive orchestrator, but of a grieving Creator. When evil unfolds, God laments.</w:t>
      </w:r>
    </w:p>
    <w:p>
      <w:pPr>
        <w:pStyle w:val="Heading2"/>
        <w:spacing w:before="220" w:after="100"/>
      </w:pPr>
      <w:r>
        <w:rPr>
          <w:rFonts w:ascii="Calibri" w:hAnsi="Calibri"/>
          <w:b/>
          <w:sz w:val="28"/>
          <w:color w:val="2C5E8A"/>
        </w:rPr>
        <w:t>The Wrath of God as Divine Absence</w:t>
      </w:r>
    </w:p>
    <w:p>
      <w:pPr>
        <w:spacing w:after="140" w:line="276" w:lineRule="auto"/>
      </w:pPr>
      <w:r>
        <w:rPr>
          <w:rFonts w:ascii="Calibri" w:hAnsi="Calibri"/>
          <w:sz w:val="22"/>
          <w:color w:val="222222"/>
        </w:rPr>
        <w:t xml:space="preserve">This leads to a profound redefinition of the "wrath" of God. In Hebraic thought, the wrath or anger of God is not an explosive, violent outburst of divine temper. Instead, the wrath of God is depicted as His silence, His inactivity, and His absence. When a nation persistently rejected God's protection and worshipped idols, God did not actively attack them; He simply withdrew His protective presence. By withdrawing, He left the people vulnerable to the hostile elements of a fallen world and the cruelty of invading armies.</w:t>
      </w:r>
    </w:p>
    <w:p>
      <w:pPr>
        <w:spacing w:after="140" w:line="276" w:lineRule="auto"/>
      </w:pPr>
      <w:r>
        <w:rPr>
          <w:rFonts w:ascii="Calibri" w:hAnsi="Calibri"/>
          <w:sz w:val="22"/>
          <w:color w:val="222222"/>
        </w:rPr>
        <w:t xml:space="preserve">For example, when the Old Testament declares that God "caused" the enemy to ride over them or "sent" lions among them, a careful, holistic reading of the narrative reveals that Israel had already forsaken God's covenant of peace. God's "causing" was merely His concession to their rebellion; He stepped back and let them have their way. His inability to act on their behalf, due to their rejection of His covenant, is poetically described as His wrath. Therefore, the evils that befell Israel were not the active judgments of a furious God, but the tragic, inevitable consequences of living outside the boundary of divine protection.</w:t>
      </w:r>
    </w:p>
    <w:p>
      <w:pPr>
        <w:spacing w:after="140" w:line="276" w:lineRule="auto"/>
      </w:pPr>
      <w:r>
        <w:rPr>
          <w:rFonts w:ascii="Calibri" w:hAnsi="Calibri"/>
          <w:sz w:val="22"/>
          <w:color w:val="222222"/>
        </w:rPr>
        <w:t xml:space="preserve">Jesus perfectly demonstrated this heart of God. When confronting the stubborn rebellion of Jerusalem, Jesus did not call down fire to destroy the city in vindictive anger. Instead, He wept over it, lamenting that they did not know the time of their visitation. He foresaw the coming destruction at the hands of the Romans, but He did not orchestrate it. Like the Father in Genesis, Jesus grieved over the devastation that humanity brought upon itself. Our theology must reflect this truth: God is never the author of death, disease, or destruction; He is the Redeemer who works tirelessly to save us from them.</w:t>
      </w:r>
    </w:p>
    <w:p>
      <w:pPr>
        <w:spacing w:after="140" w:line="276" w:lineRule="auto"/>
      </w:pPr>
      <w:r>
        <w:rPr>
          <w:rFonts w:ascii="Calibri" w:hAnsi="Calibri"/>
          <w:b/>
          <w:sz w:val="22"/>
          <w:color w:val="222222"/>
        </w:rPr>
        <w:t xml:space="preserve">Jeremiah 31:17 (Context of Divine Absence)</w:t>
      </w:r>
    </w:p>
    <w:p>
      <w:pPr>
        <w:ind w:left="500"/>
        <w:spacing w:before="60" w:after="100"/>
      </w:pPr>
      <w:r>
        <w:rPr>
          <w:rFonts w:ascii="Calibri" w:hAnsi="Calibri"/>
          <w:b/>
          <w:sz w:val="21"/>
          <w:color w:val="1F497D"/>
        </w:rPr>
        <w:t xml:space="preserve">[17] </w:t>
      </w:r>
      <w:r>
        <w:rPr>
          <w:rFonts w:ascii="Calibri" w:hAnsi="Calibri"/>
          <w:sz w:val="21"/>
          <w:color w:val="1B365D"/>
        </w:rPr>
        <w:t xml:space="preserve">And there is hope in thine end, saith the LORD, that thy children shall come again to their own border.</w:t>
      </w:r>
    </w:p>
    <w:p>
      <w:pPr>
        <w:spacing w:after="140" w:line="276" w:lineRule="auto"/>
      </w:pPr>
      <w:r>
        <w:rPr>
          <w:rFonts w:ascii="Calibri" w:hAnsi="Calibri"/>
          <w:i/>
          <w:sz w:val="22"/>
          <w:color w:val="222222"/>
        </w:rPr>
        <w:t xml:space="preserve">(Note: Referencing the broader context where God's "anger" is synonymous with His hidden face and the resulting vulnerability to evil, leading to the ultimate promise of restoration.)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