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14</w:t>
      </w:r>
    </w:p>
    <w:p>
      <w:pPr>
        <w:pStyle w:val="Heading2"/>
        <w:spacing w:before="220" w:after="100"/>
      </w:pPr>
      <w:r>
        <w:rPr>
          <w:rFonts w:ascii="Calibri" w:hAnsi="Calibri"/>
          <w:b/>
          <w:sz w:val="28"/>
          <w:color w:val="2C5E8A"/>
        </w:rPr>
        <w:t>The Teacher's Task: Decoding the Dark Sayings</w:t>
      </w:r>
    </w:p>
    <w:p>
      <w:pPr>
        <w:spacing w:after="140" w:line="276" w:lineRule="auto"/>
      </w:pPr>
      <w:r>
        <w:rPr>
          <w:rFonts w:ascii="Calibri" w:hAnsi="Calibri"/>
          <w:sz w:val="22"/>
          <w:color w:val="222222"/>
        </w:rPr>
        <w:t xml:space="preserve">The scriptural mandate for the teacher is not mere oratory or motivational speaking; it is the rigorous, often arduous task of interpretation. The teacher must climb the mountains of grammar, history, and context to bring the truth of the ancient text into the contemporary world without compromising its integrity. In the Old Testament, the Psalms and Proverbs often refer to "dark sayings" or "riddles" (</w:t>
      </w:r>
      <w:r>
        <w:rPr>
          <w:rFonts w:ascii="Calibri" w:hAnsi="Calibri"/>
          <w:i/>
          <w:sz w:val="22"/>
          <w:color w:val="222222"/>
        </w:rPr>
        <w:t xml:space="preserve">chidah</w:t>
      </w:r>
      <w:r>
        <w:rPr>
          <w:rFonts w:ascii="Calibri" w:hAnsi="Calibri"/>
          <w:sz w:val="22"/>
          <w:color w:val="222222"/>
        </w:rPr>
        <w:t xml:space="preserve">). The purpose of parables and teaching is to illuminate these dark sayings. A dark saying is not dark because God intentionally obscured the truth, but because the unbelieving heart of the audience cannot comprehend it. The teacher's role is to decode the ancient Hebraic texts, removing the darkness of ignorance and revealing the consistent, unchanging theology of God.</w:t>
      </w:r>
    </w:p>
    <w:p>
      <w:pPr>
        <w:spacing w:after="140" w:line="276" w:lineRule="auto"/>
      </w:pPr>
      <w:r>
        <w:rPr>
          <w:rFonts w:ascii="Calibri" w:hAnsi="Calibri"/>
          <w:sz w:val="22"/>
          <w:color w:val="222222"/>
        </w:rPr>
        <w:t xml:space="preserve">The New Testament teacher must inevitably teach the Old Testament because the Old Testament provides the foundational narrative and vocabulary for the Epistles. One cannot simply ignore the historical context and rely on the emotional resonance of modern English words. When we fail to decode the Hebraic idioms, we end up constructing an incoherent theology. The use of language is incredibly sensitive; the moment a verb is mistranslated from a permissive tense to a causative tense, the entire theological landscape shifts, often turning God into the author of the very evil He condemns.</w:t>
      </w:r>
    </w:p>
    <w:p>
      <w:pPr>
        <w:pStyle w:val="Heading2"/>
        <w:spacing w:before="220" w:after="100"/>
      </w:pPr>
      <w:r>
        <w:rPr>
          <w:rFonts w:ascii="Calibri" w:hAnsi="Calibri"/>
          <w:b/>
          <w:sz w:val="28"/>
          <w:color w:val="2C5E8A"/>
        </w:rPr>
        <w:t>The Unchanging Love of God</w:t>
      </w:r>
    </w:p>
    <w:p>
      <w:pPr>
        <w:spacing w:after="140" w:line="276" w:lineRule="auto"/>
      </w:pPr>
      <w:r>
        <w:rPr>
          <w:rFonts w:ascii="Calibri" w:hAnsi="Calibri"/>
          <w:sz w:val="22"/>
          <w:color w:val="222222"/>
        </w:rPr>
        <w:t xml:space="preserve">A prevailing and dangerous assumption in modern Christianity is that the Old Testament presents a God of wrath, vengeance, and strict legalism, while the New Testament introduces a God of love and grace through Jesus Christ. This is a catastrophic misreading of the text. The New Testament writers did not invent the concept of a loving God, nor did Jesus come to correct a flawed Old Testament deity. The conclusion that "God is love" is fundamentally an Old Testament conclusion.</w:t>
      </w:r>
    </w:p>
    <w:p>
      <w:pPr>
        <w:spacing w:after="140" w:line="276" w:lineRule="auto"/>
      </w:pPr>
      <w:r>
        <w:rPr>
          <w:rFonts w:ascii="Calibri" w:hAnsi="Calibri"/>
          <w:sz w:val="22"/>
          <w:color w:val="222222"/>
        </w:rPr>
        <w:t xml:space="preserve">When Jesus was asked to identify the greatest commandment in the Law, He effortlessly summarized the entirety of the Old Testament with two directives: Love the Lord your God, and love your neighbor as yourself. Upon these two commandments, He declared, hang all the Law and the Prophets. The Apostle Paul echoed this, stating that love is the fulfillment of the Law. The consistent testimony of the Old Testament—from Moses to David to Jonah—is that God is compassionate, gracious, slow to anger, and plenteous in mercy. Even when Jonah rebelled against preaching to Nineveh, his excuse was precisely his knowledge of God's unchanging grace; Jonah knew that God was eagerly waiting to forgive the city rather than destroy it. God's character is immutable; as He declared in Malachi, "I am the Lord, I change not."</w:t>
      </w:r>
    </w:p>
    <w:p>
      <w:pPr>
        <w:spacing w:after="140" w:line="276" w:lineRule="auto"/>
      </w:pPr>
      <w:r>
        <w:rPr>
          <w:rFonts w:ascii="Calibri" w:hAnsi="Calibri"/>
          <w:b/>
          <w:sz w:val="22"/>
          <w:color w:val="222222"/>
        </w:rPr>
        <w:t xml:space="preserve">Malachi 3:6</w:t>
      </w:r>
    </w:p>
    <w:p>
      <w:pPr>
        <w:ind w:left="500"/>
        <w:spacing w:before="60" w:after="100"/>
      </w:pPr>
      <w:r>
        <w:rPr>
          <w:rFonts w:ascii="Calibri" w:hAnsi="Calibri"/>
          <w:b/>
          <w:sz w:val="21"/>
          <w:color w:val="1F497D"/>
        </w:rPr>
        <w:t xml:space="preserve">[6] </w:t>
      </w:r>
      <w:r>
        <w:rPr>
          <w:rFonts w:ascii="Calibri" w:hAnsi="Calibri"/>
          <w:sz w:val="21"/>
          <w:color w:val="1B365D"/>
        </w:rPr>
        <w:t xml:space="preserve">For I am the LORD, I change not; therefore ye sons of Jacob are not consumed.</w:t>
      </w:r>
    </w:p>
    <w:p>
      <w:pPr>
        <w:pStyle w:val="Heading2"/>
        <w:spacing w:before="220" w:after="100"/>
      </w:pPr>
      <w:r>
        <w:rPr>
          <w:rFonts w:ascii="Calibri" w:hAnsi="Calibri"/>
          <w:b/>
          <w:sz w:val="28"/>
          <w:color w:val="2C5E8A"/>
        </w:rPr>
        <w:t>The Calvinist Misinterpretation of Sovereignty</w:t>
      </w:r>
    </w:p>
    <w:p>
      <w:pPr>
        <w:spacing w:after="140" w:line="276" w:lineRule="auto"/>
      </w:pPr>
      <w:r>
        <w:rPr>
          <w:rFonts w:ascii="Calibri" w:hAnsi="Calibri"/>
          <w:sz w:val="22"/>
          <w:color w:val="222222"/>
        </w:rPr>
        <w:t xml:space="preserve">Much of the confusion surrounding God's character in the Old Testament can be traced directly to the pervasive influence of Calvinist and Reformed theology on Bible translation and interpretation. This theological framework, rooted heavily in the writings of Augustine and later John Calvin, champions a concept of "hyper-sovereignty." It posits that because God is sovereign, absolutely nothing happens outside of His active decree—including sin, suffering, disaster, and human rebellion.</w:t>
      </w:r>
    </w:p>
    <w:p>
      <w:pPr>
        <w:spacing w:after="140" w:line="276" w:lineRule="auto"/>
      </w:pPr>
      <w:r>
        <w:rPr>
          <w:rFonts w:ascii="Calibri" w:hAnsi="Calibri"/>
          <w:sz w:val="22"/>
          <w:color w:val="222222"/>
        </w:rPr>
        <w:t xml:space="preserve">This theology aggressively misreads the permissive idioms of the ancient Hebrew language, interpreting them as literal, causative actions of God. When the Old Testament, using Hebraisms, states that God "moved David to number Israel" or "hardened Pharaoh's heart," the Calvinist concludes that God actively coerced David into sin and forcefully prevented Pharaoh from repenting. This horrific logic makes God the author of sin and the instigator of human rebellion, a concept completely repudiated by the New Testament. The Apostle James explicitly warns believers not to err in this matter, definitively stating that God cannot be tempted by evil, nor does He tempt any man. Temptation and sin are born entirely of human lust and the deception of the enemy.</w:t>
      </w:r>
    </w:p>
    <w:p>
      <w:pPr>
        <w:spacing w:after="140" w:line="276" w:lineRule="auto"/>
      </w:pPr>
      <w:r>
        <w:rPr>
          <w:rFonts w:ascii="Calibri" w:hAnsi="Calibri"/>
          <w:sz w:val="22"/>
          <w:color w:val="222222"/>
        </w:rPr>
        <w:t xml:space="preserve">The danger of this hyper-sovereign theology extends far beyond abstract academic debates. Historically, this exact theological framework was used to justify the atrocities of apartheid, slavery, and systemic oppression, arguing that such brutal realities were simply the "ordained will of God." We must vehemently reject any theology that attributes the works of darkness to the Father of Lights.</w:t>
      </w:r>
    </w:p>
    <w:p>
      <w:pPr>
        <w:pStyle w:val="Heading2"/>
        <w:spacing w:before="220" w:after="100"/>
      </w:pPr>
      <w:r>
        <w:rPr>
          <w:rFonts w:ascii="Calibri" w:hAnsi="Calibri"/>
          <w:b/>
          <w:sz w:val="28"/>
          <w:color w:val="2C5E8A"/>
        </w:rPr>
        <w:t>The Idiom of Divine Permission</w:t>
      </w:r>
    </w:p>
    <w:p>
      <w:pPr>
        <w:spacing w:after="140" w:line="276" w:lineRule="auto"/>
      </w:pPr>
      <w:r>
        <w:rPr>
          <w:rFonts w:ascii="Calibri" w:hAnsi="Calibri"/>
          <w:sz w:val="22"/>
          <w:color w:val="222222"/>
        </w:rPr>
        <w:t xml:space="preserve">To understand the difficult texts of the Old Testament, we must recognize that Hebrew writers frequently used active verbs to describe God's permissive inaction. God's "causing" is actually His "allowing." A profound example is found in the prophecies concerning the crucifixion of Christ. Isaiah 53 states, "It pleased the Lord to bruise Him." Read literally through a modern Western lens, this suggests God the Father actively violently assaulted Jesus on the cross. However, reading this alongside the New Testament clarifies the idiom. In Acts 2, Peter declares that Jesus was delivered up by the foreknowledge of God, but it was "by wicked hands" that He was crucified and slain. God did not bruise Jesus; He permissively handed Jesus over to the wicked hands of men, offering no divine resistance to their violence.</w:t>
      </w:r>
    </w:p>
    <w:p>
      <w:pPr>
        <w:spacing w:after="140" w:line="276" w:lineRule="auto"/>
      </w:pPr>
      <w:r>
        <w:rPr>
          <w:rFonts w:ascii="Calibri" w:hAnsi="Calibri"/>
          <w:sz w:val="22"/>
          <w:color w:val="222222"/>
        </w:rPr>
        <w:t xml:space="preserve">The concept of God's "permissive will" can be misleading if "will" implies desire. It is far more accurate to speak of God's permissive </w:t>
      </w:r>
      <w:r>
        <w:rPr>
          <w:rFonts w:ascii="Calibri" w:hAnsi="Calibri"/>
          <w:i/>
          <w:sz w:val="22"/>
          <w:color w:val="222222"/>
        </w:rPr>
        <w:t xml:space="preserve">tense</w:t>
      </w:r>
      <w:r>
        <w:rPr>
          <w:rFonts w:ascii="Calibri" w:hAnsi="Calibri"/>
          <w:sz w:val="22"/>
          <w:color w:val="222222"/>
        </w:rPr>
        <w:t xml:space="preserve"> or His </w:t>
      </w:r>
      <w:r>
        <w:rPr>
          <w:rFonts w:ascii="Calibri" w:hAnsi="Calibri"/>
          <w:i/>
          <w:sz w:val="22"/>
          <w:color w:val="222222"/>
        </w:rPr>
        <w:t xml:space="preserve">providence</w:t>
      </w:r>
      <w:r>
        <w:rPr>
          <w:rFonts w:ascii="Calibri" w:hAnsi="Calibri"/>
          <w:sz w:val="22"/>
          <w:color w:val="222222"/>
        </w:rPr>
        <w:t xml:space="preserve">. God does not will sin or suffering, but He possesses the ultimate providential power to triumph over it. When Joseph was sold into slavery by his brothers, he later declared, "You meant it for evil, but God meant it for good." Joseph was not saying God orchestrated the betrayal; he was testifying to God's magnificent ability to hijack the evil intentions of men and produce a glorious deliverance. God grieves over human sin and laments the destruction it causes, but the cross of Christ proves that God's power and love will always ultimately conquer the grave.</w:t>
      </w:r>
    </w:p>
    <w:p>
      <w:pPr>
        <w:spacing w:after="140" w:line="276" w:lineRule="auto"/>
      </w:pPr>
      <w:r>
        <w:rPr>
          <w:rFonts w:ascii="Calibri" w:hAnsi="Calibri"/>
          <w:b/>
          <w:sz w:val="22"/>
          <w:color w:val="222222"/>
        </w:rPr>
        <w:t xml:space="preserve">James 1:13-14</w:t>
      </w:r>
    </w:p>
    <w:p>
      <w:pPr>
        <w:ind w:left="500"/>
        <w:spacing w:before="60" w:after="100"/>
      </w:pPr>
      <w:r>
        <w:rPr>
          <w:rFonts w:ascii="Calibri" w:hAnsi="Calibri"/>
          <w:b/>
          <w:sz w:val="21"/>
          <w:color w:val="1F497D"/>
        </w:rPr>
        <w:t xml:space="preserve">[13] </w:t>
      </w:r>
      <w:r>
        <w:rPr>
          <w:rFonts w:ascii="Calibri" w:hAnsi="Calibri"/>
          <w:sz w:val="21"/>
          <w:color w:val="1B365D"/>
        </w:rPr>
        <w:t xml:space="preserve">Let no man say when he is tempted, I am tempted of God: for God cannot be tempted with evil, neither tempteth he any man:</w:t>
      </w:r>
    </w:p>
    <w:p>
      <w:pPr>
        <w:ind w:left="500"/>
        <w:spacing w:before="60" w:after="100"/>
      </w:pPr>
      <w:r>
        <w:rPr>
          <w:rFonts w:ascii="Calibri" w:hAnsi="Calibri"/>
          <w:b/>
          <w:sz w:val="21"/>
          <w:color w:val="1F497D"/>
        </w:rPr>
        <w:t xml:space="preserve">[14] </w:t>
      </w:r>
      <w:r>
        <w:rPr>
          <w:rFonts w:ascii="Calibri" w:hAnsi="Calibri"/>
          <w:sz w:val="21"/>
          <w:color w:val="1B365D"/>
        </w:rPr>
        <w:t xml:space="preserve">But every man is tempted, when he is drawn away of his own lust, and enticed.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