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&#65279;<?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xmlns:r="http://schemas.openxmlformats.org/officeDocument/2006/relationships">
  <w:body>
    <w:p>
      <w:pPr>
        <w:pStyle w:val="Heading1"/>
        <w:spacing w:before="260" w:after="120"/>
      </w:pPr>
      <w:r>
        <w:rPr>
          <w:rFonts w:ascii="Calibri" w:hAnsi="Calibri"/>
          <w:b/>
          <w:sz w:val="36"/>
          <w:color w:val="1F497D"/>
        </w:rPr>
        <w:t>Two Kinds of Righteousness Series 2 Part 1 - Track 15</w:t>
      </w:r>
    </w:p>
    <w:p>
      <w:pPr>
        <w:pStyle w:val="Heading2"/>
        <w:spacing w:before="220" w:after="100"/>
      </w:pPr>
      <w:r>
        <w:rPr>
          <w:rFonts w:ascii="Calibri" w:hAnsi="Calibri"/>
          <w:b/>
          <w:sz w:val="28"/>
          <w:color w:val="2C5E8A"/>
        </w:rPr>
        <w:t>The Necessity of Systematic Theology</w:t>
      </w:r>
    </w:p>
    <w:p>
      <w:pPr>
        <w:spacing w:after="140" w:line="276" w:lineRule="auto"/>
      </w:pPr>
      <w:r>
        <w:rPr>
          <w:rFonts w:ascii="Calibri" w:hAnsi="Calibri"/>
          <w:sz w:val="22"/>
          <w:color w:val="222222"/>
        </w:rPr>
        <w:t xml:space="preserve">The discipline of biblical exegesis—drawing the meaning out of a specific text—is vital, but it carries a distinct danger if isolated from the broader narrative of Scripture: the danger of proof-texting. Proof-texting occurs when a reader isolates a verse to support a specific idea while ignoring the overall message of the Bible. A preacher who relies solely on isolated texts, regardless of how eloquent they may be, will inevitably produce imbalanced and flawed theology. To combat this, the diligent teacher must elevate exegesis into systematic theology. Systematic theology requires the student to harmonize the Law, the Prophets, the Psalms, the Gospels, and the Epistles into one cohesive, non-contradictory revelation of God.</w:t>
      </w:r>
    </w:p>
    <w:p>
      <w:pPr>
        <w:spacing w:after="140" w:line="276" w:lineRule="auto"/>
      </w:pPr>
      <w:r>
        <w:rPr>
          <w:rFonts w:ascii="Calibri" w:hAnsi="Calibri"/>
          <w:sz w:val="22"/>
          <w:color w:val="222222"/>
        </w:rPr>
        <w:t xml:space="preserve">This rigorous demand is why early church gatherings were characterized by exhaustive teaching sessions, sometimes lasting from morning until evening. The apostles were not merely delivering motivational speeches; they were meticulously weaving the entire biblical narrative together for their audiences. The Scriptures are not a collection of independent magical phrases; they are a sophisticated, unified literature (</w:t>
      </w:r>
      <w:r>
        <w:rPr>
          <w:rFonts w:ascii="Calibri" w:hAnsi="Calibri"/>
          <w:i/>
          <w:sz w:val="22"/>
          <w:color w:val="222222"/>
        </w:rPr>
        <w:t xml:space="preserve">gramma</w:t>
      </w:r>
      <w:r>
        <w:rPr>
          <w:rFonts w:ascii="Calibri" w:hAnsi="Calibri"/>
          <w:sz w:val="22"/>
          <w:color w:val="222222"/>
        </w:rPr>
        <w:t xml:space="preserve"> and </w:t>
      </w:r>
      <w:r>
        <w:rPr>
          <w:rFonts w:ascii="Calibri" w:hAnsi="Calibri"/>
          <w:i/>
          <w:sz w:val="22"/>
          <w:color w:val="222222"/>
        </w:rPr>
        <w:t xml:space="preserve">grapho</w:t>
      </w:r>
      <w:r>
        <w:rPr>
          <w:rFonts w:ascii="Calibri" w:hAnsi="Calibri"/>
          <w:sz w:val="22"/>
          <w:color w:val="222222"/>
        </w:rPr>
        <w:t xml:space="preserve">). The primary role of the modern Bible teacher is that of a translator—one who painstakingly translates the ancient grammar, historical ethos, and theological nuances of the biblical world into contemporary understanding without losing the original information. The modern church's tragic reduction of the teaching ministry to brief, 45-minute inspirational talks has birthed a generation of believers who harbor silent, atheistic doubts because their teachers have stylishly evaded difficult biblical texts rather than systematically explaining them.</w:t>
      </w:r>
    </w:p>
    <w:p>
      <w:pPr>
        <w:pStyle w:val="Heading2"/>
        <w:spacing w:before="220" w:after="100"/>
      </w:pPr>
      <w:r>
        <w:rPr>
          <w:rFonts w:ascii="Calibri" w:hAnsi="Calibri"/>
          <w:b/>
          <w:sz w:val="28"/>
          <w:color w:val="2C5E8A"/>
        </w:rPr>
        <w:t>Deconstructing Original Sin</w:t>
      </w:r>
    </w:p>
    <w:p>
      <w:pPr>
        <w:spacing w:after="140" w:line="276" w:lineRule="auto"/>
      </w:pPr>
      <w:r>
        <w:rPr>
          <w:rFonts w:ascii="Calibri" w:hAnsi="Calibri"/>
          <w:sz w:val="22"/>
          <w:color w:val="222222"/>
        </w:rPr>
        <w:t xml:space="preserve">When establishing a systematic theology, one must carefully observe the "unifiers"—the common denominators that connect scriptural concepts. A glaring example of a broken unifier is found in the popular, yet deeply flawed, Reformed doctrine of "original sin." This theory posits that every human being is born inherently guilty and utterly depraved simply because they are physically descended from Adam. It relies heavily on a misreading of Romans 5, assuming that our connection to Adam's sin is biological procreation.</w:t>
      </w:r>
    </w:p>
    <w:p>
      <w:pPr>
        <w:spacing w:after="140" w:line="276" w:lineRule="auto"/>
      </w:pPr>
      <w:r>
        <w:rPr>
          <w:rFonts w:ascii="Calibri" w:hAnsi="Calibri"/>
          <w:sz w:val="22"/>
          <w:color w:val="222222"/>
        </w:rPr>
        <w:t xml:space="preserve">However, if physical procreation is the unifier that connects us to the "First Adam," then physical procreation must also be the unifier that connects us to the "Last Adam" (Christ) to make us righteous. Since Jesus did not physically birth the human race, this logic completely collapses. The true unifier in Romans 5 is not procreation, but obedience and disobedience. The Apostle Paul is teaching that the First Adam's disobedience introduced a pattern of sin and death into the world, while the Second Adam's obedience to the promises of God introduced the gift of righteousness. Sin is not a genetic defect inherited at birth; it is a spiritual condition resulting from human rebellion and the influence of the enemy.</w:t>
      </w:r>
    </w:p>
    <w:p>
      <w:pPr>
        <w:pStyle w:val="Heading2"/>
        <w:spacing w:before="220" w:after="100"/>
      </w:pPr>
      <w:r>
        <w:rPr>
          <w:rFonts w:ascii="Calibri" w:hAnsi="Calibri"/>
          <w:b/>
          <w:sz w:val="28"/>
          <w:color w:val="2C5E8A"/>
        </w:rPr>
        <w:t>The Hebrew Permissive Idiom and the Character of God</w:t>
      </w:r>
    </w:p>
    <w:p>
      <w:pPr>
        <w:spacing w:after="140" w:line="276" w:lineRule="auto"/>
      </w:pPr>
      <w:r>
        <w:rPr>
          <w:rFonts w:ascii="Calibri" w:hAnsi="Calibri"/>
          <w:sz w:val="22"/>
          <w:color w:val="222222"/>
        </w:rPr>
        <w:t xml:space="preserve">We must adamantly resist the "escapist theology" that simply runs to the New Testament whenever a difficult, seemingly harsh text is encountered in the Old Testament. If we argue that the Old Testament writers were ignorant or their writings are unreliable regarding the character of God, we destroy the very foundation upon which the New Testament is built. If the Old Testament is unreliable, the Savior who validated it is equally unreliable. We must instead allow the Scriptures to interpret themselves by understanding ancient Hebrew literary devices.</w:t>
      </w:r>
    </w:p>
    <w:p>
      <w:pPr>
        <w:spacing w:after="140" w:line="276" w:lineRule="auto"/>
      </w:pPr>
      <w:r>
        <w:rPr>
          <w:rFonts w:ascii="Calibri" w:hAnsi="Calibri"/>
          <w:sz w:val="22"/>
          <w:color w:val="222222"/>
        </w:rPr>
        <w:t xml:space="preserve">A critical key to unlocking the Old Testament is understanding the Hebrew permissive idiom. Because of their intense reverence for God's ultimate supremacy, ancient Hebrew writers frequently attributed actions to God that He merely permitted, using active, causative verbs to describe passive allowance.</w:t>
      </w:r>
    </w:p>
    <w:p>
      <w:pPr>
        <w:spacing w:after="140" w:line="276" w:lineRule="auto"/>
      </w:pPr>
      <w:r>
        <w:rPr>
          <w:rFonts w:ascii="Calibri" w:hAnsi="Calibri"/>
          <w:sz w:val="22"/>
          <w:color w:val="222222"/>
        </w:rPr>
        <w:t xml:space="preserve">For example, Ezekiel 14:9 states, "And if the prophet be deceived when he hath spoken a thing, I the LORD have deceived that prophet." Read through a modern, literal lens, this text makes God a liar and a deceiver. Yet, the systematic theology of the Bible vehemently denies this. Numbers 23:19 declares God is not a man that He should lie. Titus 1:2 and Hebrews 6:18 state it is impossible for God to lie. Furthermore, James 1:13 explicitly states God tempts no man with evil. How do we resolve this? By recognizing the idiom. God did not actively whisper lies into the false prophet's ear. The prophet deceived himself through his own idolatry and greed. God's "deception" was His permissive withdrawal—He simply stepped back and allowed the prophet to be consumed by his own delusions. God's inaction is recorded as His action.</w:t>
      </w:r>
    </w:p>
    <w:p>
      <w:pPr>
        <w:spacing w:after="140" w:line="276" w:lineRule="auto"/>
      </w:pPr>
      <w:r>
        <w:rPr>
          <w:rFonts w:ascii="Calibri" w:hAnsi="Calibri"/>
          <w:b/>
          <w:sz w:val="22"/>
          <w:color w:val="222222"/>
        </w:rPr>
        <w:t xml:space="preserve">Ezekiel 14:9</w:t>
      </w:r>
    </w:p>
    <w:p>
      <w:pPr>
        <w:ind w:left="500"/>
        <w:spacing w:before="60" w:after="100"/>
      </w:pPr>
      <w:r>
        <w:rPr>
          <w:rFonts w:ascii="Calibri" w:hAnsi="Calibri"/>
          <w:b/>
          <w:sz w:val="21"/>
          <w:color w:val="1F497D"/>
        </w:rPr>
        <w:t xml:space="preserve">[9] </w:t>
      </w:r>
      <w:r>
        <w:rPr>
          <w:rFonts w:ascii="Calibri" w:hAnsi="Calibri"/>
          <w:sz w:val="21"/>
          <w:color w:val="1B365D"/>
        </w:rPr>
        <w:t xml:space="preserve">And if the prophet be deceived when he hath spoken a thing, I the LORD have deceived that prophet, and I will stretch out my hand upon him, and will destroy him from the midst of my people Israel.</w:t>
      </w:r>
    </w:p>
    <w:p>
      <w:pPr>
        <w:spacing w:after="140" w:line="276" w:lineRule="auto"/>
      </w:pPr>
      <w:r>
        <w:rPr>
          <w:rFonts w:ascii="Calibri" w:hAnsi="Calibri"/>
          <w:b/>
          <w:sz w:val="22"/>
          <w:color w:val="222222"/>
        </w:rPr>
        <w:t xml:space="preserve">Titus 1:2</w:t>
      </w:r>
    </w:p>
    <w:p>
      <w:pPr>
        <w:ind w:left="500"/>
        <w:spacing w:before="60" w:after="100"/>
      </w:pPr>
      <w:r>
        <w:rPr>
          <w:rFonts w:ascii="Calibri" w:hAnsi="Calibri"/>
          <w:b/>
          <w:sz w:val="21"/>
          <w:color w:val="1F497D"/>
        </w:rPr>
        <w:t xml:space="preserve">[2] </w:t>
      </w:r>
      <w:r>
        <w:rPr>
          <w:rFonts w:ascii="Calibri" w:hAnsi="Calibri"/>
          <w:sz w:val="21"/>
          <w:color w:val="1B365D"/>
        </w:rPr>
        <w:t xml:space="preserve">In hope of eternal life, which God, that cannot lie, promised before the world began;</w:t>
      </w:r>
    </w:p>
    <w:p>
      <w:pPr>
        <w:pStyle w:val="Heading2"/>
        <w:spacing w:before="220" w:after="100"/>
      </w:pPr>
      <w:r>
        <w:rPr>
          <w:rFonts w:ascii="Calibri" w:hAnsi="Calibri"/>
          <w:b/>
          <w:sz w:val="28"/>
          <w:color w:val="2C5E8A"/>
        </w:rPr>
        <w:t>God's Presence and Permission</w:t>
      </w:r>
    </w:p>
    <w:p>
      <w:pPr>
        <w:spacing w:after="140" w:line="276" w:lineRule="auto"/>
      </w:pPr>
      <w:r>
        <w:rPr>
          <w:rFonts w:ascii="Calibri" w:hAnsi="Calibri"/>
          <w:sz w:val="22"/>
          <w:color w:val="222222"/>
        </w:rPr>
        <w:t xml:space="preserve">This same permissive idiom explains the "evil spirits" sent by God in the Old Testament. First Samuel 19:9 states that "the evil spirit from the LORD was upon Saul." We must harmonize this with First Samuel 16:14, which explicitly states, "But the Spirit of the LORD departed from Saul, and an evil spirit from the LORD troubled him." The evil spirit did not originate from God's holy presence; rather, because the Spirit of the Lord departed due to Saul's rebellion, Saul was left unprotected. The "evil spirit from the Lord" is an idiom meaning an evil spirit was permitted to attack because the Lord's protective presence was removed.</w:t>
      </w:r>
    </w:p>
    <w:p>
      <w:pPr>
        <w:spacing w:after="140" w:line="276" w:lineRule="auto"/>
      </w:pPr>
      <w:r>
        <w:rPr>
          <w:rFonts w:ascii="Calibri" w:hAnsi="Calibri"/>
          <w:sz w:val="22"/>
          <w:color w:val="222222"/>
        </w:rPr>
        <w:t xml:space="preserve">When the Old Testament says God "brought" evil upon a people (as in Job 42:11), or "sent" enemies to destroy a city, it means God providentially permitted the natural consequences of disobedience to unfold by removing His hedge of protection. God is never the author of sin, sickness, or disaster. He is the ultimate Savior who, in His providential wisdom, knows how to navigate the evil choices of men and the attacks of the enemy to ultimately bring about deliverance. The loving, compassionate God revealed in the face of Jesus Christ is the exact same God who orchestrated the events of the Old Testament.</w:t>
      </w:r>
    </w:p>
    <w:p>
      <w:pPr>
        <w:spacing w:after="140" w:line="276" w:lineRule="auto"/>
      </w:pPr>
      <w:r>
        <w:rPr>
          <w:rFonts w:ascii="Calibri" w:hAnsi="Calibri"/>
          <w:b/>
          <w:sz w:val="22"/>
          <w:color w:val="222222"/>
        </w:rPr>
        <w:t xml:space="preserve">1 Samuel 16:14</w:t>
      </w:r>
    </w:p>
    <w:p>
      <w:pPr>
        <w:ind w:left="500"/>
        <w:spacing w:before="60" w:after="100"/>
      </w:pPr>
      <w:r>
        <w:rPr>
          <w:rFonts w:ascii="Calibri" w:hAnsi="Calibri"/>
          <w:b/>
          <w:sz w:val="21"/>
          <w:color w:val="1F497D"/>
        </w:rPr>
        <w:t xml:space="preserve">[14] </w:t>
      </w:r>
      <w:r>
        <w:rPr>
          <w:rFonts w:ascii="Calibri" w:hAnsi="Calibri"/>
          <w:sz w:val="21"/>
          <w:color w:val="1B365D"/>
        </w:rPr>
        <w:t xml:space="preserve">But the Spirit of the LORD departed from Saul, and an evil spirit from the LORD troubled him.</w:t>
      </w:r>
    </w:p>
    <w:sectPr>
      <w:pgSz w:w="12240" w:h="15840"/>
      <w:pgMar w:top="1440" w:right="1440" w:bottom="1440" w:left="1440" w:header="720" w:footer="720" w:gutter="0"/>
    </w:sectPr>
  </w:body>
</w:document>
</file>

<file path=word/styles.xml><?xml version="1.0" encoding="utf-8"?>
<w:styles xmlns:w="http://schemas.openxmlformats.org/wordprocessingml/2006/main">
  <w:docDefaults>
    <w:rPrDefault>
      <w:rPr>
        <w:rFonts w:ascii="Calibri" w:hAnsi="Calibri" w:cs="Calibri"/>
        <w:sz w:val="22"/>
        <w:color w:val="222222"/>
      </w:rPr>
    </w:rPrDefault>
  </w:docDefaults>
  <w:style w:type="paragraph" w:styleId="Normal" w:default="1">
    <w:name w:val="Normal"/>
  </w:style>
  <w:style w:type="paragraph" w:styleId="Heading1">
    <w:name w:val="heading 1"/>
    <w:rPr>
      <w:b/>
      <w:sz w:val="36"/>
      <w:color w:val="1F497D"/>
    </w:rPr>
  </w:style>
  <w:style w:type="paragraph" w:styleId="Heading2">
    <w:name w:val="heading 2"/>
    <w:rPr>
      <w:b/>
      <w:sz w:val="28"/>
      <w:color w:val="2C5E8A"/>
    </w:rPr>
  </w:style>
  <w:style w:type="paragraph" w:styleId="Heading3">
    <w:name w:val="heading 3"/>
    <w:rPr>
      <w:b/>
      <w:sz w:val="25"/>
      <w:color w:val="3B6998"/>
    </w:rPr>
  </w:style>
</w:styles>
</file>