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16</w:t>
      </w:r>
    </w:p>
    <w:p>
      <w:pPr>
        <w:pStyle w:val="Heading2"/>
        <w:spacing w:before="220" w:after="100"/>
      </w:pPr>
      <w:r>
        <w:rPr>
          <w:rFonts w:ascii="Calibri" w:hAnsi="Calibri"/>
          <w:b/>
          <w:sz w:val="28"/>
          <w:color w:val="2C5E8A"/>
        </w:rPr>
        <w:t>Exegesis and Systematic Theology</w:t>
      </w:r>
    </w:p>
    <w:p>
      <w:pPr>
        <w:spacing w:after="140" w:line="276" w:lineRule="auto"/>
      </w:pPr>
      <w:r>
        <w:rPr>
          <w:rFonts w:ascii="Calibri" w:hAnsi="Calibri"/>
          <w:sz w:val="22"/>
          <w:color w:val="222222"/>
        </w:rPr>
        <w:t xml:space="preserve">To properly understand the Scriptures, the student must graduate from mere textual exegesis to robust systematic theology. Exegesis involves extracting the meaning of a specific text, but systematic theology requires tracing a concept or doctrine across the entirety of the biblical narrative. When Jesus walked with the disciples on the road to Emmaus, He did not merely exegete a single verse; He began at Moses and traversed through </w:t>
      </w:r>
      <w:r>
        <w:rPr>
          <w:rFonts w:ascii="Calibri" w:hAnsi="Calibri"/>
          <w:i/>
          <w:sz w:val="22"/>
          <w:color w:val="222222"/>
        </w:rPr>
        <w:t xml:space="preserve">all</w:t>
      </w:r>
      <w:r>
        <w:rPr>
          <w:rFonts w:ascii="Calibri" w:hAnsi="Calibri"/>
          <w:sz w:val="22"/>
          <w:color w:val="222222"/>
        </w:rPr>
        <w:t xml:space="preserve"> the prophets, expounding the things concerning Himself. Similarly, when the Apostle Paul defended the resurrection of Christ in 1 Corinthians 15, he insisted that Christ died and rose again "according to the scriptures" (</w:t>
      </w:r>
      <w:r>
        <w:rPr>
          <w:rFonts w:ascii="Calibri" w:hAnsi="Calibri"/>
          <w:i/>
          <w:sz w:val="22"/>
          <w:color w:val="222222"/>
        </w:rPr>
        <w:t xml:space="preserve">graphas</w:t>
      </w:r>
      <w:r>
        <w:rPr>
          <w:rFonts w:ascii="Calibri" w:hAnsi="Calibri"/>
          <w:sz w:val="22"/>
          <w:color w:val="222222"/>
        </w:rPr>
        <w:t xml:space="preserve">), implying a comprehensive, systematic fulfillment of the entire Old Testament corpus.</w:t>
      </w:r>
    </w:p>
    <w:p>
      <w:pPr>
        <w:spacing w:after="140" w:line="276" w:lineRule="auto"/>
      </w:pPr>
      <w:r>
        <w:rPr>
          <w:rFonts w:ascii="Calibri" w:hAnsi="Calibri"/>
          <w:sz w:val="22"/>
          <w:color w:val="222222"/>
        </w:rPr>
        <w:t xml:space="preserve">Therefore, the Christian ministry cannot be handled casually. It is a demanding academic and spiritual discipline. The Epistles of the New Testament often function like condensed sermon notes; they contain references and summaries that find their full explanation in the vast narratives of the Old Testament. The Old Testament provides the foundational background, and the Epistles provide the explanatory foreground. The two are inextricably linked. The teacher's primary mandate is to act as a translator (</w:t>
      </w:r>
      <w:r>
        <w:rPr>
          <w:rFonts w:ascii="Calibri" w:hAnsi="Calibri"/>
          <w:i/>
          <w:sz w:val="22"/>
          <w:color w:val="222222"/>
        </w:rPr>
        <w:t xml:space="preserve">diamenu</w:t>
      </w:r>
      <w:r>
        <w:rPr>
          <w:rFonts w:ascii="Calibri" w:hAnsi="Calibri"/>
          <w:sz w:val="22"/>
          <w:color w:val="222222"/>
        </w:rPr>
        <w:t xml:space="preserve">), bridging the massive gap between the ancient Semitic world and the modern audience, ensuring that the original theology remains pristine and unaltered.</w:t>
      </w:r>
    </w:p>
    <w:p>
      <w:pPr>
        <w:pStyle w:val="Heading2"/>
        <w:spacing w:before="220" w:after="100"/>
      </w:pPr>
      <w:r>
        <w:rPr>
          <w:rFonts w:ascii="Calibri" w:hAnsi="Calibri"/>
          <w:b/>
          <w:sz w:val="28"/>
          <w:color w:val="2C5E8A"/>
        </w:rPr>
        <w:t>The Torah as Written Doctrine</w:t>
      </w:r>
    </w:p>
    <w:p>
      <w:pPr>
        <w:spacing w:after="140" w:line="276" w:lineRule="auto"/>
      </w:pPr>
      <w:r>
        <w:rPr>
          <w:rFonts w:ascii="Calibri" w:hAnsi="Calibri"/>
          <w:sz w:val="22"/>
          <w:color w:val="222222"/>
        </w:rPr>
        <w:t xml:space="preserve">In Joshua 1:8, God commands Joshua that the "Book of the Law" shall not depart out of his mouth. This instruction highlights a monumental shift in biblical history. Prior to Moses, the word of God existed as oral traditions, divine utterances, and unwritten promises. Moses, however, possessed formal education and the literary skills necessary to commit these oral traditions (the </w:t>
      </w:r>
      <w:r>
        <w:rPr>
          <w:rFonts w:ascii="Calibri" w:hAnsi="Calibri"/>
          <w:i/>
          <w:sz w:val="22"/>
          <w:color w:val="222222"/>
        </w:rPr>
        <w:t xml:space="preserve">Torah</w:t>
      </w:r>
      <w:r>
        <w:rPr>
          <w:rFonts w:ascii="Calibri" w:hAnsi="Calibri"/>
          <w:sz w:val="22"/>
          <w:color w:val="222222"/>
        </w:rPr>
        <w:t xml:space="preserve">) into a written document (a </w:t>
      </w:r>
      <w:r>
        <w:rPr>
          <w:rFonts w:ascii="Calibri" w:hAnsi="Calibri"/>
          <w:i/>
          <w:sz w:val="22"/>
          <w:color w:val="222222"/>
        </w:rPr>
        <w:t xml:space="preserve">Sepher</w:t>
      </w:r>
      <w:r>
        <w:rPr>
          <w:rFonts w:ascii="Calibri" w:hAnsi="Calibri"/>
          <w:sz w:val="22"/>
          <w:color w:val="222222"/>
        </w:rPr>
        <w:t xml:space="preserve"> or book). By writing the Torah, Moses transitioned the oral promises into a permanent, doctrinal literature (</w:t>
      </w:r>
      <w:r>
        <w:rPr>
          <w:rFonts w:ascii="Calibri" w:hAnsi="Calibri"/>
          <w:i/>
          <w:sz w:val="22"/>
          <w:color w:val="222222"/>
        </w:rPr>
        <w:t xml:space="preserve">gramma</w:t>
      </w:r>
      <w:r>
        <w:rPr>
          <w:rFonts w:ascii="Calibri" w:hAnsi="Calibri"/>
          <w:sz w:val="22"/>
          <w:color w:val="222222"/>
        </w:rPr>
        <w:t xml:space="preserve">).</w:t>
      </w:r>
    </w:p>
    <w:p>
      <w:pPr>
        <w:spacing w:after="140" w:line="276" w:lineRule="auto"/>
      </w:pPr>
      <w:r>
        <w:rPr>
          <w:rFonts w:ascii="Calibri" w:hAnsi="Calibri"/>
          <w:sz w:val="22"/>
          <w:color w:val="222222"/>
        </w:rPr>
        <w:t xml:space="preserve">Genesis, for example, is titled the "Book of Origins" or "Generations." However, Moses did not write Genesis merely to record biological history; he wrote it as theological doctrine. He deliberately structured the narrative to highlight stark contrasts: the lineage made in the image of God versus the lineage made in the image of fallen Adam. By contrasting Cain and Abel, Ishmael and Isaac, Esau and Jacob, Moses was tracing the origins of faith versus unbelief, and righteousness versus unrighteousness. Genesis is an exhaustive doctrinal treatise using historical narratives as its illustrations.</w:t>
      </w:r>
    </w:p>
    <w:p>
      <w:pPr>
        <w:spacing w:after="140" w:line="276" w:lineRule="auto"/>
      </w:pPr>
      <w:r>
        <w:rPr>
          <w:rFonts w:ascii="Calibri" w:hAnsi="Calibri"/>
          <w:b/>
          <w:sz w:val="22"/>
          <w:color w:val="222222"/>
        </w:rPr>
        <w:t xml:space="preserve">Joshua 1:8</w:t>
      </w:r>
    </w:p>
    <w:p>
      <w:pPr>
        <w:ind w:left="500"/>
        <w:spacing w:before="60" w:after="100"/>
      </w:pPr>
      <w:r>
        <w:rPr>
          <w:rFonts w:ascii="Calibri" w:hAnsi="Calibri"/>
          <w:b/>
          <w:sz w:val="21"/>
          <w:color w:val="1F497D"/>
        </w:rPr>
        <w:t xml:space="preserve">[8] </w:t>
      </w:r>
      <w:r>
        <w:rPr>
          <w:rFonts w:ascii="Calibri" w:hAnsi="Calibri"/>
          <w:sz w:val="21"/>
          <w:color w:val="1B365D"/>
        </w:rPr>
        <w:t xml:space="preserve">This book of the law shall not depart out of thy mouth; but thou shalt meditate therein day and night, that thou mayest observe to do according to all that is written therein: for then thou shalt make thy way prosperous, and then thou shalt have good success.</w:t>
      </w:r>
    </w:p>
    <w:p>
      <w:pPr>
        <w:pStyle w:val="Heading2"/>
        <w:spacing w:before="220" w:after="100"/>
      </w:pPr>
      <w:r>
        <w:rPr>
          <w:rFonts w:ascii="Calibri" w:hAnsi="Calibri"/>
          <w:b/>
          <w:sz w:val="28"/>
          <w:color w:val="2C5E8A"/>
        </w:rPr>
        <w:t>The Logos and the Dabar</w:t>
      </w:r>
    </w:p>
    <w:p>
      <w:pPr>
        <w:spacing w:after="140" w:line="276" w:lineRule="auto"/>
      </w:pPr>
      <w:r>
        <w:rPr>
          <w:rFonts w:ascii="Calibri" w:hAnsi="Calibri"/>
          <w:sz w:val="22"/>
          <w:color w:val="222222"/>
        </w:rPr>
        <w:t xml:space="preserve">A common, critical accusation against the Gospel of John is that John borrowed the concept of the </w:t>
      </w:r>
      <w:r>
        <w:rPr>
          <w:rFonts w:ascii="Calibri" w:hAnsi="Calibri"/>
          <w:i/>
          <w:sz w:val="22"/>
          <w:color w:val="222222"/>
        </w:rPr>
        <w:t xml:space="preserve">Logos</w:t>
      </w:r>
      <w:r>
        <w:rPr>
          <w:rFonts w:ascii="Calibri" w:hAnsi="Calibri"/>
          <w:sz w:val="22"/>
          <w:color w:val="222222"/>
        </w:rPr>
        <w:t xml:space="preserve"> (the Word) from secular Greek philosophy, particularly from Heraclitus or the Stoics, and retrofitted it onto Jesus. This ignores the rich theological heritage of the Old Testament. The Greek word </w:t>
      </w:r>
      <w:r>
        <w:rPr>
          <w:rFonts w:ascii="Calibri" w:hAnsi="Calibri"/>
          <w:i/>
          <w:sz w:val="22"/>
          <w:color w:val="222222"/>
        </w:rPr>
        <w:t xml:space="preserve">Logos</w:t>
      </w:r>
      <w:r>
        <w:rPr>
          <w:rFonts w:ascii="Calibri" w:hAnsi="Calibri"/>
          <w:sz w:val="22"/>
          <w:color w:val="222222"/>
        </w:rPr>
        <w:t xml:space="preserve"> is the perfect translation of the Hebrew word </w:t>
      </w:r>
      <w:r>
        <w:rPr>
          <w:rFonts w:ascii="Calibri" w:hAnsi="Calibri"/>
          <w:i/>
          <w:sz w:val="22"/>
          <w:color w:val="222222"/>
        </w:rPr>
        <w:t xml:space="preserve">Dabar</w:t>
      </w:r>
      <w:r>
        <w:rPr>
          <w:rFonts w:ascii="Calibri" w:hAnsi="Calibri"/>
          <w:sz w:val="22"/>
          <w:color w:val="222222"/>
        </w:rPr>
        <w:t xml:space="preserve">. The </w:t>
      </w:r>
      <w:r>
        <w:rPr>
          <w:rFonts w:ascii="Calibri" w:hAnsi="Calibri"/>
          <w:i/>
          <w:sz w:val="22"/>
          <w:color w:val="222222"/>
        </w:rPr>
        <w:t xml:space="preserve">Dabar</w:t>
      </w:r>
      <w:r>
        <w:rPr>
          <w:rFonts w:ascii="Calibri" w:hAnsi="Calibri"/>
          <w:sz w:val="22"/>
          <w:color w:val="222222"/>
        </w:rPr>
        <w:t xml:space="preserve"> refers to a spoken word, but by profound implication, it refers to a matter, a comprehensive discussion, a driving logic, or a unified message.</w:t>
      </w:r>
    </w:p>
    <w:p>
      <w:pPr>
        <w:spacing w:after="140" w:line="276" w:lineRule="auto"/>
      </w:pPr>
      <w:r>
        <w:rPr>
          <w:rFonts w:ascii="Calibri" w:hAnsi="Calibri"/>
          <w:sz w:val="22"/>
          <w:color w:val="222222"/>
        </w:rPr>
        <w:t xml:space="preserve">The entire Old Testament possesses a singular </w:t>
      </w:r>
      <w:r>
        <w:rPr>
          <w:rFonts w:ascii="Calibri" w:hAnsi="Calibri"/>
          <w:i/>
          <w:sz w:val="22"/>
          <w:color w:val="222222"/>
        </w:rPr>
        <w:t xml:space="preserve">Dabar</w:t>
      </w:r>
      <w:r>
        <w:rPr>
          <w:rFonts w:ascii="Calibri" w:hAnsi="Calibri"/>
          <w:sz w:val="22"/>
          <w:color w:val="222222"/>
        </w:rPr>
        <w:t xml:space="preserve">—a unified message and logic pointing to a coming Deliverer. The Psalmist explicitly utilized this concept in Psalm 33:6, stating, "By the word (</w:t>
      </w:r>
      <w:r>
        <w:rPr>
          <w:rFonts w:ascii="Calibri" w:hAnsi="Calibri"/>
          <w:i/>
          <w:sz w:val="22"/>
          <w:color w:val="222222"/>
        </w:rPr>
        <w:t xml:space="preserve">Dabar/Logos</w:t>
      </w:r>
      <w:r>
        <w:rPr>
          <w:rFonts w:ascii="Calibri" w:hAnsi="Calibri"/>
          <w:sz w:val="22"/>
          <w:color w:val="222222"/>
        </w:rPr>
        <w:t xml:space="preserve">) of the LORD were the heavens made." When John opens his Gospel with, "In the beginning was the Word (</w:t>
      </w:r>
      <w:r>
        <w:rPr>
          <w:rFonts w:ascii="Calibri" w:hAnsi="Calibri"/>
          <w:i/>
          <w:sz w:val="22"/>
          <w:color w:val="222222"/>
        </w:rPr>
        <w:t xml:space="preserve">Logos</w:t>
      </w:r>
      <w:r>
        <w:rPr>
          <w:rFonts w:ascii="Calibri" w:hAnsi="Calibri"/>
          <w:sz w:val="22"/>
          <w:color w:val="222222"/>
        </w:rPr>
        <w:t xml:space="preserve">)," he is not borrowing from Greek philosophy; he is brilliantly summarizing the theological reality of the Old Testament. The entire 39 books of the Old Testament have one cohesive, central logic and message, and John simply identifies that eternal message as the person of Jesus Christ.</w:t>
      </w:r>
    </w:p>
    <w:p>
      <w:pPr>
        <w:pStyle w:val="Heading2"/>
        <w:spacing w:before="220" w:after="100"/>
      </w:pPr>
      <w:r>
        <w:rPr>
          <w:rFonts w:ascii="Calibri" w:hAnsi="Calibri"/>
          <w:b/>
          <w:sz w:val="28"/>
          <w:color w:val="2C5E8A"/>
        </w:rPr>
        <w:t>The Nuance of \"The Law\"</w:t>
      </w:r>
    </w:p>
    <w:p>
      <w:pPr>
        <w:spacing w:after="140" w:line="276" w:lineRule="auto"/>
      </w:pPr>
      <w:r>
        <w:rPr>
          <w:rFonts w:ascii="Calibri" w:hAnsi="Calibri"/>
          <w:sz w:val="22"/>
          <w:color w:val="222222"/>
        </w:rPr>
        <w:t xml:space="preserve">When reading the Epistles, the student must carefully define the term "The Law" (</w:t>
      </w:r>
      <w:r>
        <w:rPr>
          <w:rFonts w:ascii="Calibri" w:hAnsi="Calibri"/>
          <w:i/>
          <w:sz w:val="22"/>
          <w:color w:val="222222"/>
        </w:rPr>
        <w:t xml:space="preserve">Nomos</w:t>
      </w:r>
      <w:r>
        <w:rPr>
          <w:rFonts w:ascii="Calibri" w:hAnsi="Calibri"/>
          <w:sz w:val="22"/>
          <w:color w:val="222222"/>
        </w:rPr>
        <w:t xml:space="preserve">). It is often used too broadly. The Law of Moses is actually a complex amalgamation of concepts. Within the Law, we find the "law of faith" (the eternal promises of God regarding redemption) alongside the "law of sin and death" (the rigorous ceremonial rituals, the civil justice system, and the strict moral codes).</w:t>
      </w:r>
    </w:p>
    <w:p>
      <w:pPr>
        <w:spacing w:after="140" w:line="276" w:lineRule="auto"/>
      </w:pPr>
      <w:r>
        <w:rPr>
          <w:rFonts w:ascii="Calibri" w:hAnsi="Calibri"/>
          <w:sz w:val="22"/>
          <w:color w:val="222222"/>
        </w:rPr>
        <w:t xml:space="preserve">When the New Testament speaks of the weakness or the condemnation of the Law, it is specifically referring to the "law of sin and death." Jesus explicitly stated that Moses permitted certain edicts, such as divorce, "because of the hardness of your hearts." The ceremonial laws and the strict punitive codes were not God's original, eternal ideal; they were permissive, temporary accommodations added because of human transgression and carnal unbelief. They were designed to manage a rebellious people until the "Seed" (Christ) should come. Therefore, the ceremonies and rituals are the law of sin and death, while the underlying promise of a Savior is the law of faith.</w:t>
      </w:r>
    </w:p>
    <w:p>
      <w:pPr>
        <w:spacing w:after="140" w:line="276" w:lineRule="auto"/>
      </w:pPr>
      <w:r>
        <w:rPr>
          <w:rFonts w:ascii="Calibri" w:hAnsi="Calibri"/>
          <w:b/>
          <w:sz w:val="22"/>
          <w:color w:val="222222"/>
        </w:rPr>
        <w:t xml:space="preserve">Matthew 19:8</w:t>
      </w:r>
    </w:p>
    <w:p>
      <w:pPr>
        <w:ind w:left="500"/>
        <w:spacing w:before="60" w:after="100"/>
      </w:pPr>
      <w:r>
        <w:rPr>
          <w:rFonts w:ascii="Calibri" w:hAnsi="Calibri"/>
          <w:b/>
          <w:sz w:val="21"/>
          <w:color w:val="1F497D"/>
        </w:rPr>
        <w:t xml:space="preserve">[8] </w:t>
      </w:r>
      <w:r>
        <w:rPr>
          <w:rFonts w:ascii="Calibri" w:hAnsi="Calibri"/>
          <w:sz w:val="21"/>
          <w:color w:val="1B365D"/>
        </w:rPr>
        <w:t xml:space="preserve">He saith unto them, Moses because of the hardness of your hearts suffered you to put away your wives: but from the beginning it was not so.</w:t>
      </w:r>
    </w:p>
    <w:p>
      <w:pPr>
        <w:pStyle w:val="Heading2"/>
        <w:spacing w:before="220" w:after="100"/>
      </w:pPr>
      <w:r>
        <w:rPr>
          <w:rFonts w:ascii="Calibri" w:hAnsi="Calibri"/>
          <w:b/>
          <w:sz w:val="28"/>
          <w:color w:val="2C5E8A"/>
        </w:rPr>
        <w:t>Adam, Abraham, and Righteousness</w:t>
      </w:r>
    </w:p>
    <w:p>
      <w:pPr>
        <w:spacing w:after="140" w:line="276" w:lineRule="auto"/>
      </w:pPr>
      <w:r>
        <w:rPr>
          <w:rFonts w:ascii="Calibri" w:hAnsi="Calibri"/>
          <w:sz w:val="22"/>
          <w:color w:val="222222"/>
        </w:rPr>
        <w:t xml:space="preserve">To construct a proper systematic theology of salvation, one must look at the primary biblical "unifiers." The Apostle Paul masterfully uses two Old Testament figures to unify the entire human experience: Adam and Abraham. In Romans 5, Adam is presented as the archetype of disobedience and unbelief; his transgression introduced the pattern of sin and death into the world. In stark contrast, in Romans 4, Abraham is presented as the archetype of faith and obedience; his trust in God's promise demonstrates how God justifies the ungodly.</w:t>
      </w:r>
    </w:p>
    <w:p>
      <w:pPr>
        <w:spacing w:after="140" w:line="276" w:lineRule="auto"/>
      </w:pPr>
      <w:r>
        <w:rPr>
          <w:rFonts w:ascii="Calibri" w:hAnsi="Calibri"/>
          <w:sz w:val="22"/>
          <w:color w:val="222222"/>
        </w:rPr>
        <w:t xml:space="preserve">Therefore, biblical righteousness is far more expansive than a simple legal pardon for an individual sinner. Righteousness is God's promised justice—His unwavering commitment to set the world right. It is God's eternal promise to dismantle the destructive legacy of Adam's unbelief and fulfill the promise made to Abraham: creating a unified, global family of faith, where both Jew and Gentile stand together before God without guilt, inferiority, or condemnation. The entire Bible is the dramatic unfolding of this promised righteousness.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