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18</w:t>
      </w:r>
    </w:p>
    <w:p>
      <w:pPr>
        <w:pStyle w:val="Heading2"/>
        <w:spacing w:before="220" w:after="100"/>
      </w:pPr>
      <w:r>
        <w:rPr>
          <w:rFonts w:ascii="Calibri" w:hAnsi="Calibri"/>
          <w:b/>
          <w:sz w:val="28"/>
          <w:color w:val="2C5E8A"/>
        </w:rPr>
        <w:t>The Content and the Container</w:t>
      </w:r>
    </w:p>
    <w:p>
      <w:pPr>
        <w:spacing w:after="140" w:line="276" w:lineRule="auto"/>
      </w:pPr>
      <w:r>
        <w:rPr>
          <w:rFonts w:ascii="Calibri" w:hAnsi="Calibri"/>
          <w:sz w:val="22"/>
          <w:color w:val="222222"/>
        </w:rPr>
        <w:t xml:space="preserve">To accurately interpret the Scriptures, the student must recognize that the Bible was written within specific cultural and historical settings. Moses, the human author of the Pentateuch, was raised and educated "in all the wisdom of the Egyptians" (Acts 7:22). Consequently, he utilized the Near Eastern, Palestinian imagery, idioms, and language of his day to communicate God's truth. The divine message (the content or </w:t>
      </w:r>
      <w:r>
        <w:rPr>
          <w:rFonts w:ascii="Calibri" w:hAnsi="Calibri"/>
          <w:i/>
          <w:sz w:val="22"/>
          <w:color w:val="222222"/>
        </w:rPr>
        <w:t xml:space="preserve">Logos</w:t>
      </w:r>
      <w:r>
        <w:rPr>
          <w:rFonts w:ascii="Calibri" w:hAnsi="Calibri"/>
          <w:sz w:val="22"/>
          <w:color w:val="222222"/>
        </w:rPr>
        <w:t xml:space="preserve">) was perfectly pure, but it was poured into a human, cultural vessel (the container).</w:t>
      </w:r>
    </w:p>
    <w:p>
      <w:pPr>
        <w:spacing w:after="140" w:line="276" w:lineRule="auto"/>
      </w:pPr>
      <w:r>
        <w:rPr>
          <w:rFonts w:ascii="Calibri" w:hAnsi="Calibri"/>
          <w:sz w:val="22"/>
          <w:color w:val="222222"/>
        </w:rPr>
        <w:t xml:space="preserve">If a teacher attempts to teach a universal concept like mathematics in a different language, they must use the cultural illustrations familiar to that specific language group. The mathematics remains unchanged, but the mode of delivery adapts. Similarly, Moses used the cultural "mathematics" of Egypt and the ancient Near East to explain the eternal plan of God. Therefore, reading the Bible requires the skill of a translator. A Bible teacher must carefully extract the eternal </w:t>
      </w:r>
      <w:r>
        <w:rPr>
          <w:rFonts w:ascii="Calibri" w:hAnsi="Calibri"/>
          <w:i/>
          <w:sz w:val="22"/>
          <w:color w:val="222222"/>
        </w:rPr>
        <w:t xml:space="preserve">Logos</w:t>
      </w:r>
      <w:r>
        <w:rPr>
          <w:rFonts w:ascii="Calibri" w:hAnsi="Calibri"/>
          <w:sz w:val="22"/>
          <w:color w:val="222222"/>
        </w:rPr>
        <w:t xml:space="preserve"> from its ancient cultural container, ensuring that modern audiences do not interpret ancient idioms as literal, universal realities. Failing to separate the content from the container results in severe theological distortion.</w:t>
      </w:r>
    </w:p>
    <w:p>
      <w:pPr>
        <w:pStyle w:val="Heading2"/>
        <w:spacing w:before="220" w:after="100"/>
      </w:pPr>
      <w:r>
        <w:rPr>
          <w:rFonts w:ascii="Calibri" w:hAnsi="Calibri"/>
          <w:b/>
          <w:sz w:val="28"/>
          <w:color w:val="2C5E8A"/>
        </w:rPr>
        <w:t>The Hebrew Idiom of Permission</w:t>
      </w:r>
    </w:p>
    <w:p>
      <w:pPr>
        <w:spacing w:after="140" w:line="276" w:lineRule="auto"/>
      </w:pPr>
      <w:r>
        <w:rPr>
          <w:rFonts w:ascii="Calibri" w:hAnsi="Calibri"/>
          <w:sz w:val="22"/>
          <w:color w:val="222222"/>
        </w:rPr>
        <w:t xml:space="preserve">A foundational linguistic reality of the Old Testament is the ancient Hebrew tendency to express passive permission using active, causative verbs. Because the Hebrew writers held an absolute view of God's supremacy, they frequently attributed the natural consequences of human rebellion directly to God's action. What God merely foresaw, permitted, or allowed, the Hebrew writer recorded as something God actively caused.</w:t>
      </w:r>
    </w:p>
    <w:p>
      <w:pPr>
        <w:spacing w:after="140" w:line="276" w:lineRule="auto"/>
      </w:pPr>
      <w:r>
        <w:rPr>
          <w:rFonts w:ascii="Calibri" w:hAnsi="Calibri"/>
          <w:sz w:val="22"/>
          <w:color w:val="222222"/>
        </w:rPr>
        <w:t xml:space="preserve">For example, when Isaiah writes about God blinding the eyes and making the hearts of the people "fat" (Isaiah 6:9-10), a literal reading suggests God actively prevented people from repenting. However, the Apostle Paul decodes this idiom in 2 Corinthians 4:4, clarifying that it is "the god of this world" (Satan) who blinds the minds of them that believe not. The Old Testament writers used a sarcastic or idiomatic shorthand: because the people stubbornly chose to harden their own hearts, God's consequent withdrawal was written as though God Himself inflicted the hardness. God is consistently the judge, but He is rarely the direct executor of the evil consequences.</w:t>
      </w:r>
    </w:p>
    <w:p>
      <w:pPr>
        <w:pStyle w:val="Heading2"/>
        <w:spacing w:before="220" w:after="100"/>
      </w:pPr>
      <w:r>
        <w:rPr>
          <w:rFonts w:ascii="Calibri" w:hAnsi="Calibri"/>
          <w:b/>
          <w:sz w:val="28"/>
          <w:color w:val="2C5E8A"/>
        </w:rPr>
        <w:t>The Danger of Literal Translations</w:t>
      </w:r>
    </w:p>
    <w:p>
      <w:pPr>
        <w:spacing w:after="140" w:line="276" w:lineRule="auto"/>
      </w:pPr>
      <w:r>
        <w:rPr>
          <w:rFonts w:ascii="Calibri" w:hAnsi="Calibri"/>
          <w:sz w:val="22"/>
          <w:color w:val="222222"/>
        </w:rPr>
        <w:t xml:space="preserve">Because of these profound cultural differences, a strict, word-for-word literal translation of ancient texts can completely obliterate the original meaning. We must understand the cultural weight of the words used. For instance, the New Testament borrows the word </w:t>
      </w:r>
      <w:r>
        <w:rPr>
          <w:rFonts w:ascii="Calibri" w:hAnsi="Calibri"/>
          <w:i/>
          <w:sz w:val="22"/>
          <w:color w:val="222222"/>
        </w:rPr>
        <w:t xml:space="preserve">arrhabon</w:t>
      </w:r>
      <w:r>
        <w:rPr>
          <w:rFonts w:ascii="Calibri" w:hAnsi="Calibri"/>
          <w:sz w:val="22"/>
          <w:color w:val="222222"/>
        </w:rPr>
        <w:t xml:space="preserve"> (translated as "earnest" in Ephesians 1:14) to describe the Holy Spirit. Modern translations often render this as a "down payment."</w:t>
      </w:r>
    </w:p>
    <w:p>
      <w:pPr>
        <w:spacing w:after="140" w:line="276" w:lineRule="auto"/>
      </w:pPr>
      <w:r>
        <w:rPr>
          <w:rFonts w:ascii="Calibri" w:hAnsi="Calibri"/>
          <w:sz w:val="22"/>
          <w:color w:val="222222"/>
        </w:rPr>
        <w:t xml:space="preserve">However, in modern English, a "down payment" implies a partial installment of something much larger (like a 10% deposit on a car). If we apply this literally, we conclude that the Holy Spirit is merely a fraction of our salvation. But in the ancient commercial world, </w:t>
      </w:r>
      <w:r>
        <w:rPr>
          <w:rFonts w:ascii="Calibri" w:hAnsi="Calibri"/>
          <w:i/>
          <w:sz w:val="22"/>
          <w:color w:val="222222"/>
        </w:rPr>
        <w:t xml:space="preserve">arrhabon</w:t>
      </w:r>
      <w:r>
        <w:rPr>
          <w:rFonts w:ascii="Calibri" w:hAnsi="Calibri"/>
          <w:sz w:val="22"/>
          <w:color w:val="222222"/>
        </w:rPr>
        <w:t xml:space="preserve"> referred to a pledge or a guarantee of equivalent, absolute worth given to secure a promise. The Holy Spirit is not a partial installment; He is the absolute, divine guarantee of our future glorification. A faithful teacher must look beyond the English translation to unbundle the ancient cultural intent.</w:t>
      </w:r>
    </w:p>
    <w:p>
      <w:pPr>
        <w:spacing w:after="140" w:line="276" w:lineRule="auto"/>
      </w:pPr>
      <w:r>
        <w:rPr>
          <w:rFonts w:ascii="Calibri" w:hAnsi="Calibri"/>
          <w:b/>
          <w:sz w:val="22"/>
          <w:color w:val="222222"/>
        </w:rPr>
        <w:t xml:space="preserve">Ephesians 1:14</w:t>
      </w:r>
    </w:p>
    <w:p>
      <w:pPr>
        <w:ind w:left="500"/>
        <w:spacing w:before="60" w:after="100"/>
      </w:pPr>
      <w:r>
        <w:rPr>
          <w:rFonts w:ascii="Calibri" w:hAnsi="Calibri"/>
          <w:b/>
          <w:sz w:val="21"/>
          <w:color w:val="1F497D"/>
        </w:rPr>
        <w:t xml:space="preserve">[14] </w:t>
      </w:r>
      <w:r>
        <w:rPr>
          <w:rFonts w:ascii="Calibri" w:hAnsi="Calibri"/>
          <w:sz w:val="21"/>
          <w:color w:val="1B365D"/>
        </w:rPr>
        <w:t xml:space="preserve">Which is the earnest of our inheritance until the redemption of the purchased possession, unto the praise of his glory.</w:t>
      </w:r>
    </w:p>
    <w:p>
      <w:pPr>
        <w:pStyle w:val="Heading2"/>
        <w:spacing w:before="220" w:after="100"/>
      </w:pPr>
      <w:r>
        <w:rPr>
          <w:rFonts w:ascii="Calibri" w:hAnsi="Calibri"/>
          <w:b/>
          <w:sz w:val="28"/>
          <w:color w:val="2C5E8A"/>
        </w:rPr>
        <w:t>Decoding \"Nathan\": To Give vs. To Allow</w:t>
      </w:r>
    </w:p>
    <w:p>
      <w:pPr>
        <w:spacing w:after="140" w:line="276" w:lineRule="auto"/>
      </w:pPr>
      <w:r>
        <w:rPr>
          <w:rFonts w:ascii="Calibri" w:hAnsi="Calibri"/>
          <w:sz w:val="22"/>
          <w:color w:val="222222"/>
        </w:rPr>
        <w:t xml:space="preserve">There are specific Hebrew verbs that demand intense scrutiny because they frequently function as permissive idioms. The first is the Hebrew verb </w:t>
      </w:r>
      <w:r>
        <w:rPr>
          <w:rFonts w:ascii="Calibri" w:hAnsi="Calibri"/>
          <w:i/>
          <w:sz w:val="22"/>
          <w:color w:val="222222"/>
        </w:rPr>
        <w:t xml:space="preserve">Nathan</w:t>
      </w:r>
      <w:r>
        <w:rPr>
          <w:rFonts w:ascii="Calibri" w:hAnsi="Calibri"/>
          <w:sz w:val="22"/>
          <w:color w:val="222222"/>
        </w:rPr>
        <w:t xml:space="preserve">. Literally translated, it means "to give," "to put," "to bestow," or "to deliver." However, when </w:t>
      </w:r>
      <w:r>
        <w:rPr>
          <w:rFonts w:ascii="Calibri" w:hAnsi="Calibri"/>
          <w:i/>
          <w:sz w:val="22"/>
          <w:color w:val="222222"/>
        </w:rPr>
        <w:t xml:space="preserve">Nathan</w:t>
      </w:r>
      <w:r>
        <w:rPr>
          <w:rFonts w:ascii="Calibri" w:hAnsi="Calibri"/>
          <w:sz w:val="22"/>
          <w:color w:val="222222"/>
        </w:rPr>
        <w:t xml:space="preserve"> is associated with evil, plagues, or destruction, it actually means "to allow," "to give over," or "to not hinder."</w:t>
      </w:r>
    </w:p>
    <w:p>
      <w:pPr>
        <w:spacing w:after="140" w:line="276" w:lineRule="auto"/>
      </w:pPr>
      <w:r>
        <w:rPr>
          <w:rFonts w:ascii="Calibri" w:hAnsi="Calibri"/>
          <w:sz w:val="22"/>
          <w:color w:val="222222"/>
        </w:rPr>
        <w:t xml:space="preserve">For example, when God says, "I will put the plague of leprosy in a house" (Leviticus 14:34), the verb </w:t>
      </w:r>
      <w:r>
        <w:rPr>
          <w:rFonts w:ascii="Calibri" w:hAnsi="Calibri"/>
          <w:i/>
          <w:sz w:val="22"/>
          <w:color w:val="222222"/>
        </w:rPr>
        <w:t xml:space="preserve">Nathan</w:t>
      </w:r>
      <w:r>
        <w:rPr>
          <w:rFonts w:ascii="Calibri" w:hAnsi="Calibri"/>
          <w:sz w:val="22"/>
          <w:color w:val="222222"/>
        </w:rPr>
        <w:t xml:space="preserve"> is used. Did God actively manufacture and apply leprosy? No. The idiom means, "Because of your disobedience and the withdrawal of my protection, I will not hinder the plague of leprosy from occurring." Similarly, in 1 Kings 22:23, when Micaiah the prophet says, "The LORD hath put (</w:t>
      </w:r>
      <w:r>
        <w:rPr>
          <w:rFonts w:ascii="Calibri" w:hAnsi="Calibri"/>
          <w:i/>
          <w:sz w:val="22"/>
          <w:color w:val="222222"/>
        </w:rPr>
        <w:t xml:space="preserve">Nathan</w:t>
      </w:r>
      <w:r>
        <w:rPr>
          <w:rFonts w:ascii="Calibri" w:hAnsi="Calibri"/>
          <w:sz w:val="22"/>
          <w:color w:val="222222"/>
        </w:rPr>
        <w:t xml:space="preserve">) a lying spirit in the mouth of all these thy prophets," he is not saying God authored a lie. He is saying, "Because Ahab rejected the truth, God has given them over; He has allowed a lying spirit to operate without restraint." </w:t>
      </w:r>
      <w:r>
        <w:rPr>
          <w:rFonts w:ascii="Calibri" w:hAnsi="Calibri"/>
          <w:i/>
          <w:sz w:val="22"/>
          <w:color w:val="222222"/>
        </w:rPr>
        <w:t xml:space="preserve">Nathan</w:t>
      </w:r>
      <w:r>
        <w:rPr>
          <w:rFonts w:ascii="Calibri" w:hAnsi="Calibri"/>
          <w:sz w:val="22"/>
          <w:color w:val="222222"/>
        </w:rPr>
        <w:t xml:space="preserve"> expresses God's inactivity, not His action.</w:t>
      </w:r>
    </w:p>
    <w:p>
      <w:pPr>
        <w:spacing w:after="140" w:line="276" w:lineRule="auto"/>
      </w:pPr>
      <w:r>
        <w:rPr>
          <w:rFonts w:ascii="Calibri" w:hAnsi="Calibri"/>
          <w:b/>
          <w:sz w:val="22"/>
          <w:color w:val="222222"/>
        </w:rPr>
        <w:t xml:space="preserve">1 Kings 22:23</w:t>
      </w:r>
    </w:p>
    <w:p>
      <w:pPr>
        <w:ind w:left="500"/>
        <w:spacing w:before="60" w:after="100"/>
      </w:pPr>
      <w:r>
        <w:rPr>
          <w:rFonts w:ascii="Calibri" w:hAnsi="Calibri"/>
          <w:b/>
          <w:sz w:val="21"/>
          <w:color w:val="1F497D"/>
        </w:rPr>
        <w:t xml:space="preserve">[23] </w:t>
      </w:r>
      <w:r>
        <w:rPr>
          <w:rFonts w:ascii="Calibri" w:hAnsi="Calibri"/>
          <w:sz w:val="21"/>
          <w:color w:val="1B365D"/>
        </w:rPr>
        <w:t xml:space="preserve">Now therefore, behold, the LORD hath put a lying spirit in the mouth of all these thy prophets, and the LORD hath spoken evil concerning thee.</w:t>
      </w:r>
    </w:p>
    <w:p>
      <w:pPr>
        <w:pStyle w:val="Heading2"/>
        <w:spacing w:before="220" w:after="100"/>
      </w:pPr>
      <w:r>
        <w:rPr>
          <w:rFonts w:ascii="Calibri" w:hAnsi="Calibri"/>
          <w:b/>
          <w:sz w:val="28"/>
          <w:color w:val="2C5E8A"/>
        </w:rPr>
        <w:t>Decoding \"Shalach\": To Send vs. To Let Go</w:t>
      </w:r>
    </w:p>
    <w:p>
      <w:pPr>
        <w:spacing w:after="140" w:line="276" w:lineRule="auto"/>
      </w:pPr>
      <w:r>
        <w:rPr>
          <w:rFonts w:ascii="Calibri" w:hAnsi="Calibri"/>
          <w:sz w:val="22"/>
          <w:color w:val="222222"/>
        </w:rPr>
        <w:t xml:space="preserve">The second crucial Hebrew verb is </w:t>
      </w:r>
      <w:r>
        <w:rPr>
          <w:rFonts w:ascii="Calibri" w:hAnsi="Calibri"/>
          <w:i/>
          <w:sz w:val="22"/>
          <w:color w:val="222222"/>
        </w:rPr>
        <w:t xml:space="preserve">Shalach</w:t>
      </w:r>
      <w:r>
        <w:rPr>
          <w:rFonts w:ascii="Calibri" w:hAnsi="Calibri"/>
          <w:sz w:val="22"/>
          <w:color w:val="222222"/>
        </w:rPr>
        <w:t xml:space="preserve">. It is overwhelmingly translated in English Bibles as "to send." However, its deeper linguistic meaning is "to let go," "to loosen," or "to release." This nuance changes everything when reading Old Testament judgments.</w:t>
      </w:r>
    </w:p>
    <w:p>
      <w:pPr>
        <w:spacing w:after="140" w:line="276" w:lineRule="auto"/>
      </w:pPr>
      <w:r>
        <w:rPr>
          <w:rFonts w:ascii="Calibri" w:hAnsi="Calibri"/>
          <w:sz w:val="22"/>
          <w:color w:val="222222"/>
        </w:rPr>
        <w:t xml:space="preserve">When 2 Kings 17:25 states that the people "feared not the LORD: therefore the LORD sent (</w:t>
      </w:r>
      <w:r>
        <w:rPr>
          <w:rFonts w:ascii="Calibri" w:hAnsi="Calibri"/>
          <w:i/>
          <w:sz w:val="22"/>
          <w:color w:val="222222"/>
        </w:rPr>
        <w:t xml:space="preserve">Shalach</w:t>
      </w:r>
      <w:r>
        <w:rPr>
          <w:rFonts w:ascii="Calibri" w:hAnsi="Calibri"/>
          <w:sz w:val="22"/>
          <w:color w:val="222222"/>
        </w:rPr>
        <w:t xml:space="preserve">) lions among them," a literal reading portrays God actively deploying wild beasts to maul people. The idiomatic reality is vastly different. Because the people lived in blatant rebellion, they rejected God's protective covenant. God did not actively "send" lions; rather, God "let go" (</w:t>
      </w:r>
      <w:r>
        <w:rPr>
          <w:rFonts w:ascii="Calibri" w:hAnsi="Calibri"/>
          <w:i/>
          <w:sz w:val="22"/>
          <w:color w:val="222222"/>
        </w:rPr>
        <w:t xml:space="preserve">Shalach</w:t>
      </w:r>
      <w:r>
        <w:rPr>
          <w:rFonts w:ascii="Calibri" w:hAnsi="Calibri"/>
          <w:sz w:val="22"/>
          <w:color w:val="222222"/>
        </w:rPr>
        <w:t xml:space="preserve">). He released His protective restraint, and the natural dangers of the wilderness consumed them. Likewise, when the prophets declare that God will "send" the Babylonians to destroy Israel, it means God will simply step back and allow the hostile nations, driven by their own greed and demonic influence, to conquer a people who have forsaken divine protection.</w:t>
      </w:r>
    </w:p>
    <w:p>
      <w:pPr>
        <w:pStyle w:val="Heading2"/>
        <w:spacing w:before="220" w:after="100"/>
      </w:pPr>
      <w:r>
        <w:rPr>
          <w:rFonts w:ascii="Calibri" w:hAnsi="Calibri"/>
          <w:b/>
          <w:sz w:val="28"/>
          <w:color w:val="2C5E8A"/>
        </w:rPr>
        <w:t>Rejecting Fatalism</w:t>
      </w:r>
    </w:p>
    <w:p>
      <w:pPr>
        <w:spacing w:after="140" w:line="276" w:lineRule="auto"/>
      </w:pPr>
      <w:r>
        <w:rPr>
          <w:rFonts w:ascii="Calibri" w:hAnsi="Calibri"/>
          <w:sz w:val="22"/>
          <w:color w:val="222222"/>
        </w:rPr>
        <w:t xml:space="preserve">We must completely reject the fatalistic, hyper-sovereignty theology that interprets these permissive idioms literally. To teach that God actively decrees sin, ordains sickness, and deploys evil spirits to accomplish His secret will is to commit theological malpractice. When we see the verbs </w:t>
      </w:r>
      <w:r>
        <w:rPr>
          <w:rFonts w:ascii="Calibri" w:hAnsi="Calibri"/>
          <w:i/>
          <w:sz w:val="22"/>
          <w:color w:val="222222"/>
        </w:rPr>
        <w:t xml:space="preserve">Nathan</w:t>
      </w:r>
      <w:r>
        <w:rPr>
          <w:rFonts w:ascii="Calibri" w:hAnsi="Calibri"/>
          <w:sz w:val="22"/>
          <w:color w:val="222222"/>
        </w:rPr>
        <w:t xml:space="preserve"> or </w:t>
      </w:r>
      <w:r>
        <w:rPr>
          <w:rFonts w:ascii="Calibri" w:hAnsi="Calibri"/>
          <w:i/>
          <w:sz w:val="22"/>
          <w:color w:val="222222"/>
        </w:rPr>
        <w:t xml:space="preserve">Shalach</w:t>
      </w:r>
      <w:r>
        <w:rPr>
          <w:rFonts w:ascii="Calibri" w:hAnsi="Calibri"/>
          <w:sz w:val="22"/>
          <w:color w:val="222222"/>
        </w:rPr>
        <w:t xml:space="preserve"> resulting in destruction, we will invariably find human disobedience in the immediate context. Disobedience is the true cause; God's "action" is merely His sorrowful withdrawal. The God revealed in Jesus Christ is fundamentally good, and we must boldly translate the Scriptures to vindicate His flawless character.</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