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24</w:t>
      </w:r>
    </w:p>
    <w:p>
      <w:pPr>
        <w:pStyle w:val="Heading2"/>
        <w:spacing w:before="220" w:after="100"/>
      </w:pPr>
      <w:r>
        <w:rPr>
          <w:rFonts w:ascii="Calibri" w:hAnsi="Calibri"/>
          <w:b/>
          <w:sz w:val="28"/>
          <w:color w:val="2C5E8A"/>
        </w:rPr>
        <w:t>Theology Transmitted Through History</w:t>
      </w:r>
    </w:p>
    <w:p>
      <w:pPr>
        <w:spacing w:after="140" w:line="276" w:lineRule="auto"/>
      </w:pPr>
      <w:r>
        <w:rPr>
          <w:rFonts w:ascii="Calibri" w:hAnsi="Calibri"/>
          <w:sz w:val="22"/>
          <w:color w:val="222222"/>
        </w:rPr>
        <w:t xml:space="preserve">To teach the Scriptures effectively, one must recognize that theology is inextricably bound to history. The Bible is not a disjointed collection of abstract spiritual aphorisms; it is the historical record of God's redemptive work. When Jesus expounded the Scriptures on the road to Emmaus (Luke 24:25-27), He did not bypass the historical context; He utilized "Moses and all the Prophets" to reveal the things concerning Himself.</w:t>
      </w:r>
    </w:p>
    <w:p>
      <w:pPr>
        <w:spacing w:after="140" w:line="276" w:lineRule="auto"/>
      </w:pPr>
      <w:r>
        <w:rPr>
          <w:rFonts w:ascii="Calibri" w:hAnsi="Calibri"/>
          <w:sz w:val="22"/>
          <w:color w:val="222222"/>
        </w:rPr>
        <w:t xml:space="preserve">The teacher's duty, following the pattern of Nehemiah 8:8, is to read the law, "give the sense, and cause them to understand the reading." This requires crossing significant barriers: language barriers (e.g., from Hebrew/Aramaic to Greek to English) and cultural barriers (from the ancient Near East to the modern world). The Jewish scriptures are inherently eschatological. They are a progressive, predictive record of God's promises that point toward a definitive fulfillment. When Jesus said that "all things must be fulfilled" (Luke 24:44), He established that the Old Testament contains eschatological substance that finds its ultimate realization in His incarnation, death, and resurrection.</w:t>
      </w:r>
    </w:p>
    <w:p>
      <w:pPr>
        <w:pStyle w:val="Heading2"/>
        <w:spacing w:before="220" w:after="100"/>
      </w:pPr>
      <w:r>
        <w:rPr>
          <w:rFonts w:ascii="Calibri" w:hAnsi="Calibri"/>
          <w:b/>
          <w:sz w:val="28"/>
          <w:color w:val="2C5E8A"/>
        </w:rPr>
        <w:t>The Pauline Framework: Romans 1:1-7</w:t>
      </w:r>
    </w:p>
    <w:p>
      <w:pPr>
        <w:spacing w:after="140" w:line="276" w:lineRule="auto"/>
      </w:pPr>
      <w:r>
        <w:rPr>
          <w:rFonts w:ascii="Calibri" w:hAnsi="Calibri"/>
          <w:sz w:val="22"/>
          <w:color w:val="222222"/>
        </w:rPr>
        <w:t xml:space="preserve">To unpack biblical theology systematically, we look to the Apostle Paul, particularly his introduction to the book of Romans (Romans 1:1-7). In these seven verses, Paul seamlessly weaves together the entire scope of biblical doctrine. First, concerning theology and eschatology, Paul introduces the "Gospel of God," explicitly stating that it was "promised afore by his prophets in the holy scriptures" (Romans 1:1-2). The Gospel is the fulfillment of an ancient, eschatological promise. Second, concerning Christology and soteriology, this promise concerns "his Son Jesus Christ our Lord, which was made of the seed of David according to the flesh" and "declared to be the Son of God with power, according to the spirit of holiness, by the resurrection from the dead" (Romans 1:3-4). This is the historical execution of salvation. Third, concerning pneumatology, the resurrection and the resulting life are accomplished by the "spirit of holiness." Finally, concerning ecclesiology and missiology, the result of this redemptive work is "grace and apostleship, for obedience to the faith among all nations" (Romans 1:5). God calls out a church (</w:t>
      </w:r>
      <w:r>
        <w:rPr>
          <w:rFonts w:ascii="Calibri" w:hAnsi="Calibri"/>
          <w:i/>
          <w:sz w:val="22"/>
          <w:color w:val="222222"/>
        </w:rPr>
        <w:t xml:space="preserve">ecclesia</w:t>
      </w:r>
      <w:r>
        <w:rPr>
          <w:rFonts w:ascii="Calibri" w:hAnsi="Calibri"/>
          <w:sz w:val="22"/>
          <w:color w:val="222222"/>
        </w:rPr>
        <w:t xml:space="preserve">) for the express purpose of a global mission to make disciples of all nations.</w:t>
      </w:r>
    </w:p>
    <w:p>
      <w:pPr>
        <w:pStyle w:val="Heading2"/>
        <w:spacing w:before="220" w:after="100"/>
      </w:pPr>
      <w:r>
        <w:rPr>
          <w:rFonts w:ascii="Calibri" w:hAnsi="Calibri"/>
          <w:b/>
          <w:sz w:val="28"/>
          <w:color w:val="2C5E8A"/>
        </w:rPr>
        <w:t>The Narrow Prism of Reformation Righteousness</w:t>
      </w:r>
    </w:p>
    <w:p>
      <w:pPr>
        <w:spacing w:after="140" w:line="276" w:lineRule="auto"/>
      </w:pPr>
      <w:r>
        <w:rPr>
          <w:rFonts w:ascii="Calibri" w:hAnsi="Calibri"/>
          <w:sz w:val="22"/>
          <w:color w:val="222222"/>
        </w:rPr>
        <w:t xml:space="preserve">The central theological theme woven through this redemptive history is "Righteousness" (Greek: </w:t>
      </w:r>
      <w:r>
        <w:rPr>
          <w:rFonts w:ascii="Calibri" w:hAnsi="Calibri"/>
          <w:i/>
          <w:sz w:val="22"/>
          <w:color w:val="222222"/>
        </w:rPr>
        <w:t xml:space="preserve">dikaiosyne</w:t>
      </w:r>
      <w:r>
        <w:rPr>
          <w:rFonts w:ascii="Calibri" w:hAnsi="Calibri"/>
          <w:sz w:val="22"/>
          <w:color w:val="222222"/>
        </w:rPr>
        <w:t xml:space="preserve">; Hebrew: </w:t>
      </w:r>
      <w:r>
        <w:rPr>
          <w:rFonts w:ascii="Calibri" w:hAnsi="Calibri"/>
          <w:i/>
          <w:sz w:val="22"/>
          <w:color w:val="222222"/>
        </w:rPr>
        <w:t xml:space="preserve">tsedeqah</w:t>
      </w:r>
      <w:r>
        <w:rPr>
          <w:rFonts w:ascii="Calibri" w:hAnsi="Calibri"/>
          <w:sz w:val="22"/>
          <w:color w:val="222222"/>
        </w:rPr>
        <w:t xml:space="preserve">). Unfortunately, modern theology has often adopted a severely truncated definition of this word. Influenced by the Reformation's necessary reaction against the Catholic Church's system of indulgences, Martin Luther and subsequent theologians heavily emphasized justification by faith as a forensic, legal pardon.</w:t>
      </w:r>
    </w:p>
    <w:p>
      <w:pPr>
        <w:spacing w:after="140" w:line="276" w:lineRule="auto"/>
      </w:pPr>
      <w:r>
        <w:rPr>
          <w:rFonts w:ascii="Calibri" w:hAnsi="Calibri"/>
          <w:sz w:val="22"/>
          <w:color w:val="222222"/>
        </w:rPr>
        <w:t xml:space="preserve">In this narrow prism, righteousness is often reduced to the statement: "I was a guilty sinner, but Jesus took my punishment, and now I am declared a saint." While this forensic substitution is a true and vital </w:t>
      </w:r>
      <w:r>
        <w:rPr>
          <w:rFonts w:ascii="Calibri" w:hAnsi="Calibri"/>
          <w:i/>
          <w:sz w:val="22"/>
          <w:color w:val="222222"/>
        </w:rPr>
        <w:t xml:space="preserve">element</w:t>
      </w:r>
      <w:r>
        <w:rPr>
          <w:rFonts w:ascii="Calibri" w:hAnsi="Calibri"/>
          <w:sz w:val="22"/>
          <w:color w:val="222222"/>
        </w:rPr>
        <w:t xml:space="preserve"> of salvation, it is not the totality of biblical righteousness. Reducing the biblical doctrine of righteousness strictly to legal pardon is like pointing to the steering wheel of a car and claiming it is the entire vehicle. To understand righteousness comprehensively, we must look beyond the courtroom metaphor and examine the vast historical context of the Old Testament.</w:t>
      </w:r>
    </w:p>
    <w:p>
      <w:pPr>
        <w:pStyle w:val="Heading2"/>
        <w:spacing w:before="220" w:after="100"/>
      </w:pPr>
      <w:r>
        <w:rPr>
          <w:rFonts w:ascii="Calibri" w:hAnsi="Calibri"/>
          <w:b/>
          <w:sz w:val="28"/>
          <w:color w:val="2C5E8A"/>
        </w:rPr>
        <w:t>Righteousness: God Rectifying the Fall</w:t>
      </w:r>
    </w:p>
    <w:p>
      <w:pPr>
        <w:spacing w:after="140" w:line="276" w:lineRule="auto"/>
      </w:pPr>
      <w:r>
        <w:rPr>
          <w:rFonts w:ascii="Calibri" w:hAnsi="Calibri"/>
          <w:sz w:val="22"/>
          <w:color w:val="222222"/>
        </w:rPr>
        <w:t xml:space="preserve">A comprehensive study of the biblical terminology reveals that righteousness fundamentally means "to put things right," "to rectify," or "to be in the right." It is not merely a legal status; it is an active noun and adjective describing the correct order of things according to God's original design.</w:t>
      </w:r>
    </w:p>
    <w:p>
      <w:pPr>
        <w:spacing w:after="140" w:line="276" w:lineRule="auto"/>
      </w:pPr>
      <w:r>
        <w:rPr>
          <w:rFonts w:ascii="Calibri" w:hAnsi="Calibri"/>
          <w:sz w:val="22"/>
          <w:color w:val="222222"/>
        </w:rPr>
        <w:t xml:space="preserve">When Paul declares, "For therein [in the Gospel] is the righteousness of God revealed from faith to faith" (Romans 1:17), he is not just talking about human believing. He is talking about God's faithfulness to His promise. The righteousness of God is revealed </w:t>
      </w:r>
      <w:r>
        <w:rPr>
          <w:rFonts w:ascii="Calibri" w:hAnsi="Calibri"/>
          <w:i/>
          <w:sz w:val="22"/>
          <w:color w:val="222222"/>
        </w:rPr>
        <w:t xml:space="preserve">from</w:t>
      </w:r>
      <w:r>
        <w:rPr>
          <w:rFonts w:ascii="Calibri" w:hAnsi="Calibri"/>
          <w:sz w:val="22"/>
          <w:color w:val="222222"/>
        </w:rPr>
        <w:t xml:space="preserve"> God's faithfulness (His keeping of the eschatological promise through Christ) </w:t>
      </w:r>
      <w:r>
        <w:rPr>
          <w:rFonts w:ascii="Calibri" w:hAnsi="Calibri"/>
          <w:i/>
          <w:sz w:val="22"/>
          <w:color w:val="222222"/>
        </w:rPr>
        <w:t xml:space="preserve">to</w:t>
      </w:r>
      <w:r>
        <w:rPr>
          <w:rFonts w:ascii="Calibri" w:hAnsi="Calibri"/>
          <w:sz w:val="22"/>
          <w:color w:val="222222"/>
        </w:rPr>
        <w:t xml:space="preserve"> our faith (our reception of that fulfilled promise). Righteousness is the historical act of God fulfilling His promise through the death and resurrection of Jesus Christ to completely rectify the catastrophic fall of Adam.</w:t>
      </w:r>
    </w:p>
    <w:p>
      <w:pPr>
        <w:spacing w:after="140" w:line="276" w:lineRule="auto"/>
      </w:pPr>
      <w:r>
        <w:rPr>
          <w:rFonts w:ascii="Calibri" w:hAnsi="Calibri"/>
          <w:sz w:val="22"/>
          <w:color w:val="222222"/>
        </w:rPr>
        <w:t xml:space="preserve">This broader definition fits seamlessly across the New Testament. When Jesus insisted on being baptized by John to "fulfill all righteousness" (Matthew 3:15), He was not receiving a pardon for sin; He was actively fulfilling the prophetic Exodus narrative and doing what was right to initiate the new creation. When believers are "persecuted for righteousness' sake" (Matthew 5:10), they are persecuted for actively doing what is right in a fallen world. Even when God is called a "righteous judge" (2 Timothy 4:8), it does not mean He is a harsh punisher demanding his pound of flesh; it means He rightly respects human volition, handing men over to the consequences of their unbelief (Romans 1:28) rather than violently imposing salvation upon them.</w:t>
      </w:r>
    </w:p>
    <w:p>
      <w:pPr>
        <w:pStyle w:val="Heading2"/>
        <w:spacing w:before="220" w:after="100"/>
      </w:pPr>
      <w:r>
        <w:rPr>
          <w:rFonts w:ascii="Calibri" w:hAnsi="Calibri"/>
          <w:b/>
          <w:sz w:val="28"/>
          <w:color w:val="2C5E8A"/>
        </w:rPr>
        <w:t>The Tale of Two Men: Adam and Abraham</w:t>
      </w:r>
    </w:p>
    <w:p>
      <w:pPr>
        <w:spacing w:after="140" w:line="276" w:lineRule="auto"/>
      </w:pPr>
      <w:r>
        <w:rPr>
          <w:rFonts w:ascii="Calibri" w:hAnsi="Calibri"/>
          <w:sz w:val="22"/>
          <w:color w:val="222222"/>
        </w:rPr>
        <w:t xml:space="preserve">This comprehensive view of righteousness is firmly grounded in the book of Genesis, which serves as the foundational text for Paul's theology. Genesis is essentially a tale of two representative men: Adam and Abraham.</w:t>
      </w:r>
    </w:p>
    <w:p>
      <w:pPr>
        <w:spacing w:after="140" w:line="276" w:lineRule="auto"/>
      </w:pPr>
      <w:r>
        <w:rPr>
          <w:rFonts w:ascii="Calibri" w:hAnsi="Calibri"/>
          <w:sz w:val="22"/>
          <w:color w:val="222222"/>
        </w:rPr>
        <w:t xml:space="preserve">Adam failed to believe God, plunging humanity into sin, death, and "wrongness." God's response was not an immediate legal contract, but a promise. When Abraham "believed in the Lord; and he counted it to him for righteousness" (Genesis 15:6), Abraham was doing what Adam failed to do. Abraham was accounted as being "in the right."</w:t>
      </w:r>
    </w:p>
    <w:p>
      <w:pPr>
        <w:spacing w:after="140" w:line="276" w:lineRule="auto"/>
      </w:pPr>
      <w:r>
        <w:rPr>
          <w:rFonts w:ascii="Calibri" w:hAnsi="Calibri"/>
          <w:sz w:val="22"/>
          <w:color w:val="222222"/>
        </w:rPr>
        <w:t xml:space="preserve">This puts the "New Covenant" into its proper biblical perspective. When Jeremiah prophesied a New Covenant (Jeremiah 31:31-33), the Hebrew word for "new" (</w:t>
      </w:r>
      <w:r>
        <w:rPr>
          <w:rFonts w:ascii="Calibri" w:hAnsi="Calibri"/>
          <w:i/>
          <w:sz w:val="22"/>
          <w:color w:val="222222"/>
        </w:rPr>
        <w:t xml:space="preserve">chadash</w:t>
      </w:r>
      <w:r>
        <w:rPr>
          <w:rFonts w:ascii="Calibri" w:hAnsi="Calibri"/>
          <w:sz w:val="22"/>
          <w:color w:val="222222"/>
        </w:rPr>
        <w:t xml:space="preserve">) means to </w:t>
      </w:r>
      <w:r>
        <w:rPr>
          <w:rFonts w:ascii="Calibri" w:hAnsi="Calibri"/>
          <w:i/>
          <w:sz w:val="22"/>
          <w:color w:val="222222"/>
        </w:rPr>
        <w:t xml:space="preserve">renew</w:t>
      </w:r>
      <w:r>
        <w:rPr>
          <w:rFonts w:ascii="Calibri" w:hAnsi="Calibri"/>
          <w:sz w:val="22"/>
          <w:color w:val="222222"/>
        </w:rPr>
        <w:t xml:space="preserve"> or keep alive. The New Covenant is not a brand-new, disconnected idea; it is the irrevocable </w:t>
      </w:r>
      <w:r>
        <w:rPr>
          <w:rFonts w:ascii="Calibri" w:hAnsi="Calibri"/>
          <w:i/>
          <w:sz w:val="22"/>
          <w:color w:val="222222"/>
        </w:rPr>
        <w:t xml:space="preserve">renewal</w:t>
      </w:r>
      <w:r>
        <w:rPr>
          <w:rFonts w:ascii="Calibri" w:hAnsi="Calibri"/>
          <w:sz w:val="22"/>
          <w:color w:val="222222"/>
        </w:rPr>
        <w:t xml:space="preserve"> of the original promise of righteousness made to Abraham. It supersedes the temporary, culturally-conditioned laws of the Exodus (which Israel broke) by writing the eternal law of the Spirit directly onto the human heart. Biblical righteousness, therefore, is the grand, eschatological story of God's unfailing faithfulness to put humanity back into its right place in Christ.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