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&#65279;<?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xmlns:r="http://schemas.openxmlformats.org/officeDocument/2006/relationships">
  <w:body>
    <w:p>
      <w:pPr>
        <w:pStyle w:val="Heading1"/>
        <w:spacing w:before="260" w:after="120"/>
      </w:pPr>
      <w:r>
        <w:rPr>
          <w:rFonts w:ascii="Calibri" w:hAnsi="Calibri"/>
          <w:b/>
          <w:sz w:val="36"/>
          <w:color w:val="1F497D"/>
        </w:rPr>
        <w:t>Two Kinds of Righteousness Series 2 Part 1 - Track 25</w:t>
      </w:r>
    </w:p>
    <w:p>
      <w:pPr>
        <w:pStyle w:val="Heading2"/>
        <w:spacing w:before="220" w:after="100"/>
      </w:pPr>
      <w:r>
        <w:rPr>
          <w:rFonts w:ascii="Calibri" w:hAnsi="Calibri"/>
          <w:b/>
          <w:sz w:val="28"/>
          <w:color w:val="2C5E8A"/>
        </w:rPr>
        <w:t>The Eschatological Horizon of the Old Testament</w:t>
      </w:r>
    </w:p>
    <w:p>
      <w:pPr>
        <w:spacing w:after="140" w:line="276" w:lineRule="auto"/>
      </w:pPr>
      <w:r>
        <w:rPr>
          <w:rFonts w:ascii="Calibri" w:hAnsi="Calibri"/>
          <w:sz w:val="22"/>
          <w:color w:val="222222"/>
        </w:rPr>
        <w:t xml:space="preserve">When interpreting the Bible, the teacher must function as a translator, continually crossing the boundaries of language, culture, and time. Jesus demonstrated this profound exegetical method on the road to Emmaus (Luke 24:25-27, 44), taking the historical texts of "Moses, the Prophets, and the Psalms" and bringing out their spiritual, eschatological meaning. He proved that the Old Testament is inherently predictive. It is not merely a record of ancient near-eastern history; it is a theological trajectory heading toward a specific destination: the incarnation, death, and resurrection of the Messiah.</w:t>
      </w:r>
    </w:p>
    <w:p>
      <w:pPr>
        <w:spacing w:after="140" w:line="276" w:lineRule="auto"/>
      </w:pPr>
      <w:r>
        <w:rPr>
          <w:rFonts w:ascii="Calibri" w:hAnsi="Calibri"/>
          <w:sz w:val="22"/>
          <w:color w:val="222222"/>
        </w:rPr>
        <w:t xml:space="preserve">Therefore, to read the Old Testament without the New Testament is to have a body without a head. Conversely, to read the New Testament without the Old Testament is to have a head without a body. The New Testament writers did not invent new doctrines out of thin air; they provided the definitive, Spirit-inspired interpretation of the Old Testament promises. Whenever we encounter theological heavyweights in the Epistles—words like Righteousness, Justification, Promise, Covenant, and Faith—we must trace their roots back to Genesis to understand their full conceptual weight.</w:t>
      </w:r>
    </w:p>
    <w:p>
      <w:pPr>
        <w:pStyle w:val="Heading2"/>
        <w:spacing w:before="220" w:after="100"/>
      </w:pPr>
      <w:r>
        <w:rPr>
          <w:rFonts w:ascii="Calibri" w:hAnsi="Calibri"/>
          <w:b/>
          <w:sz w:val="28"/>
          <w:color w:val="2C5E8A"/>
        </w:rPr>
        <w:t>Righteousness: The Tale of Two Progenitors</w:t>
      </w:r>
    </w:p>
    <w:p>
      <w:pPr>
        <w:spacing w:after="140" w:line="276" w:lineRule="auto"/>
      </w:pPr>
      <w:r>
        <w:rPr>
          <w:rFonts w:ascii="Calibri" w:hAnsi="Calibri"/>
          <w:sz w:val="22"/>
          <w:color w:val="222222"/>
        </w:rPr>
        <w:t xml:space="preserve">A critical error in modern theology is divorcing Paul's teaching on Righteousness from its Genesis background. In the book of Romans, Paul brilliantly contrasts two foundational figures to explain the mechanics of righteousness: Adam and Abraham. This contrast is the master key to understanding the Gospel.</w:t>
      </w:r>
    </w:p>
    <w:p>
      <w:pPr>
        <w:spacing w:after="140" w:line="276" w:lineRule="auto"/>
      </w:pPr>
      <w:r>
        <w:rPr>
          <w:rFonts w:ascii="Calibri" w:hAnsi="Calibri"/>
          <w:sz w:val="22"/>
          <w:color w:val="222222"/>
        </w:rPr>
        <w:t xml:space="preserve">Adam represents the fall of humanity. He fell short of the image and the "humanity" of God, plunging creation into sin and death. He is the pattern of what went wrong. Abraham, however, represents the solution. When Abraham heard the promise of God, he believed it, and his faith was accounted to him as being "in the right" (Genesis 15:6). He is the pattern of what is put right.</w:t>
      </w:r>
    </w:p>
    <w:p>
      <w:pPr>
        <w:spacing w:after="140" w:line="276" w:lineRule="auto"/>
      </w:pPr>
      <w:r>
        <w:rPr>
          <w:rFonts w:ascii="Calibri" w:hAnsi="Calibri"/>
          <w:sz w:val="22"/>
          <w:color w:val="222222"/>
        </w:rPr>
        <w:t xml:space="preserve">Therefore, biblical Righteousness (</w:t>
      </w:r>
      <w:r>
        <w:rPr>
          <w:rFonts w:ascii="Calibri" w:hAnsi="Calibri"/>
          <w:i/>
          <w:sz w:val="22"/>
          <w:color w:val="222222"/>
        </w:rPr>
        <w:t xml:space="preserve">dikaiosyne</w:t>
      </w:r>
      <w:r>
        <w:rPr>
          <w:rFonts w:ascii="Calibri" w:hAnsi="Calibri"/>
          <w:sz w:val="22"/>
          <w:color w:val="222222"/>
        </w:rPr>
        <w:t xml:space="preserve"> / </w:t>
      </w:r>
      <w:r>
        <w:rPr>
          <w:rFonts w:ascii="Calibri" w:hAnsi="Calibri"/>
          <w:i/>
          <w:sz w:val="22"/>
          <w:color w:val="222222"/>
        </w:rPr>
        <w:t xml:space="preserve">tsedeqah</w:t>
      </w:r>
      <w:r>
        <w:rPr>
          <w:rFonts w:ascii="Calibri" w:hAnsi="Calibri"/>
          <w:sz w:val="22"/>
          <w:color w:val="222222"/>
        </w:rPr>
        <w:t xml:space="preserve">) is fundamentally about God's faithfulness in executing His promise to rectify the catastrophe of the fall. God's covenant (</w:t>
      </w:r>
      <w:r>
        <w:rPr>
          <w:rFonts w:ascii="Calibri" w:hAnsi="Calibri"/>
          <w:i/>
          <w:sz w:val="22"/>
          <w:color w:val="222222"/>
        </w:rPr>
        <w:t xml:space="preserve">diatheke</w:t>
      </w:r>
      <w:r>
        <w:rPr>
          <w:rFonts w:ascii="Calibri" w:hAnsi="Calibri"/>
          <w:sz w:val="22"/>
          <w:color w:val="222222"/>
        </w:rPr>
        <w:t xml:space="preserve">) is not a bilateral contract where two equal parties negotiate terms; it is a unilateral promise granted by God to humanity, requiring only the response of faith. The Gospel is the announcement that God has kept His promise to Abraham by raising Jesus from the dead.</w:t>
      </w:r>
    </w:p>
    <w:p>
      <w:pPr>
        <w:pStyle w:val="Heading2"/>
        <w:spacing w:before="220" w:after="100"/>
      </w:pPr>
      <w:r>
        <w:rPr>
          <w:rFonts w:ascii="Calibri" w:hAnsi="Calibri"/>
          <w:b/>
          <w:sz w:val="28"/>
          <w:color w:val="2C5E8A"/>
        </w:rPr>
        <w:t>The Righteousness of Judgment</w:t>
      </w:r>
    </w:p>
    <w:p>
      <w:pPr>
        <w:spacing w:after="140" w:line="276" w:lineRule="auto"/>
      </w:pPr>
      <w:r>
        <w:rPr>
          <w:rFonts w:ascii="Calibri" w:hAnsi="Calibri"/>
          <w:sz w:val="22"/>
          <w:color w:val="222222"/>
        </w:rPr>
        <w:t xml:space="preserve">It is a theological impossibility to discuss Righteousness without simultaneously discussing Judgment (</w:t>
      </w:r>
      <w:r>
        <w:rPr>
          <w:rFonts w:ascii="Calibri" w:hAnsi="Calibri"/>
          <w:i/>
          <w:sz w:val="22"/>
          <w:color w:val="222222"/>
        </w:rPr>
        <w:t xml:space="preserve">krino</w:t>
      </w:r>
      <w:r>
        <w:rPr>
          <w:rFonts w:ascii="Calibri" w:hAnsi="Calibri"/>
          <w:sz w:val="22"/>
          <w:color w:val="222222"/>
        </w:rPr>
        <w:t xml:space="preserve">, </w:t>
      </w:r>
      <w:r>
        <w:rPr>
          <w:rFonts w:ascii="Calibri" w:hAnsi="Calibri"/>
          <w:i/>
          <w:sz w:val="22"/>
          <w:color w:val="222222"/>
        </w:rPr>
        <w:t xml:space="preserve">krisis</w:t>
      </w:r>
      <w:r>
        <w:rPr>
          <w:rFonts w:ascii="Calibri" w:hAnsi="Calibri"/>
          <w:sz w:val="22"/>
          <w:color w:val="222222"/>
        </w:rPr>
        <w:t xml:space="preserve">, </w:t>
      </w:r>
      <w:r>
        <w:rPr>
          <w:rFonts w:ascii="Calibri" w:hAnsi="Calibri"/>
          <w:i/>
          <w:sz w:val="22"/>
          <w:color w:val="222222"/>
        </w:rPr>
        <w:t xml:space="preserve">katakrima</w:t>
      </w:r>
      <w:r>
        <w:rPr>
          <w:rFonts w:ascii="Calibri" w:hAnsi="Calibri"/>
          <w:sz w:val="22"/>
          <w:color w:val="222222"/>
        </w:rPr>
        <w:t xml:space="preserve">). You cannot put things right without clearly distinguishing them from what is wrong. The Gospel naturally brings judgment—not as a vindictive, arbitrary punishment from an angry deity, but as a righteous separation between belief and unbelief, light and darkness.</w:t>
      </w:r>
    </w:p>
    <w:p>
      <w:pPr>
        <w:spacing w:after="140" w:line="276" w:lineRule="auto"/>
      </w:pPr>
      <w:r>
        <w:rPr>
          <w:rFonts w:ascii="Calibri" w:hAnsi="Calibri"/>
          <w:sz w:val="22"/>
          <w:color w:val="222222"/>
        </w:rPr>
        <w:t xml:space="preserve">When Jesus said, "God sent not his Son into the world to condemn the world... but he that believeth not is condemned already" (John 3:17-18), He was explaining that the light inherently exposes and judges the darkness. When a believer walks in righteousness, that very conduct judges and exposes sin. For instance, Noah "condemned the world" simply by building the ark in faith (Hebrews 11:7). God's final judgment is the ultimate expression of His righteousness because it perfectly respects human volition; He simply hands over to the consequences of darkness those who actively refuse to step into the light.</w:t>
      </w:r>
    </w:p>
    <w:p>
      <w:pPr>
        <w:pStyle w:val="Heading2"/>
        <w:spacing w:before="220" w:after="100"/>
      </w:pPr>
      <w:r>
        <w:rPr>
          <w:rFonts w:ascii="Calibri" w:hAnsi="Calibri"/>
          <w:b/>
          <w:sz w:val="28"/>
          <w:color w:val="2C5E8A"/>
        </w:rPr>
        <w:t>The Seed and the Spirit</w:t>
      </w:r>
    </w:p>
    <w:p>
      <w:pPr>
        <w:spacing w:after="140" w:line="276" w:lineRule="auto"/>
      </w:pPr>
      <w:r>
        <w:rPr>
          <w:rFonts w:ascii="Calibri" w:hAnsi="Calibri"/>
          <w:sz w:val="22"/>
          <w:color w:val="222222"/>
        </w:rPr>
        <w:t xml:space="preserve">A vital component of God's Righteousness is the concept of the "Seed" (</w:t>
      </w:r>
      <w:r>
        <w:rPr>
          <w:rFonts w:ascii="Calibri" w:hAnsi="Calibri"/>
          <w:i/>
          <w:sz w:val="22"/>
          <w:color w:val="222222"/>
        </w:rPr>
        <w:t xml:space="preserve">sperma</w:t>
      </w:r>
      <w:r>
        <w:rPr>
          <w:rFonts w:ascii="Calibri" w:hAnsi="Calibri"/>
          <w:sz w:val="22"/>
          <w:color w:val="222222"/>
        </w:rPr>
        <w:t xml:space="preserve">). Moses deliberately contrasts the physical seed of Adam (which propagates the flesh) with the promised Seed of God. In Galatians 3:16, Paul explicitly identifies this singular Seed as Christ.</w:t>
      </w:r>
    </w:p>
    <w:p>
      <w:pPr>
        <w:spacing w:after="140" w:line="276" w:lineRule="auto"/>
      </w:pPr>
      <w:r>
        <w:rPr>
          <w:rFonts w:ascii="Calibri" w:hAnsi="Calibri"/>
          <w:sz w:val="22"/>
          <w:color w:val="222222"/>
        </w:rPr>
        <w:t xml:space="preserve">It is crucial to understand that natural procreation does not transmit spiritual status. If spiritual DNA were passed through biology, Isaac and Ishmael, or Jacob and Esau, would have possessed identical spiritual standing. But they did not. The true Seed of God is entirely spiritual. The promise made to Abraham regarding his "seed" possessing the "nations of the earth" finds its fulfillment in the resurrection of Jesus. He is the "Life-Giving Spirit" (1 Corinthians 15:45) who imparts the life of God to all who believe, regardless of their physical lineage.</w:t>
      </w:r>
    </w:p>
    <w:p>
      <w:pPr>
        <w:pStyle w:val="Heading2"/>
        <w:spacing w:before="220" w:after="100"/>
      </w:pPr>
      <w:r>
        <w:rPr>
          <w:rFonts w:ascii="Calibri" w:hAnsi="Calibri"/>
          <w:b/>
          <w:sz w:val="28"/>
          <w:color w:val="2C5E8A"/>
        </w:rPr>
        <w:t>Ecclesiology: The Ultimate Goal of Righteousness</w:t>
      </w:r>
    </w:p>
    <w:p>
      <w:pPr>
        <w:spacing w:after="140" w:line="276" w:lineRule="auto"/>
      </w:pPr>
      <w:r>
        <w:rPr>
          <w:rFonts w:ascii="Calibri" w:hAnsi="Calibri"/>
          <w:sz w:val="22"/>
          <w:color w:val="222222"/>
        </w:rPr>
        <w:t xml:space="preserve">The ultimate, eschatological goal of God's Righteousness is Ecclesiology—the formation of one unified family out of all the nations of the earth. The Old Testament feasts (Passover, Pentecost, Tabernacles) all celebrated the deliverance of the Exodus. Prophetically, they pointed forward to a greater, universal Exodus where the dividing walls of hostility would be permanently destroyed.</w:t>
      </w:r>
    </w:p>
    <w:p>
      <w:pPr>
        <w:spacing w:after="140" w:line="276" w:lineRule="auto"/>
      </w:pPr>
      <w:r>
        <w:rPr>
          <w:rFonts w:ascii="Calibri" w:hAnsi="Calibri"/>
          <w:sz w:val="22"/>
          <w:color w:val="222222"/>
        </w:rPr>
        <w:t xml:space="preserve">Paul emphasizes this practical outcome of righteousness in Romans 14 and 15. The command to "receive ye one another, as Christ also received us" (Romans 15:7) is the logical conclusion of justification by faith. Because we are all justified identically—by faith in the faithfulness of God—there is no room for boasting. True biblical Righteousness completely dismantles racism, tribalism, sexism, male chauvinism, and legalism. It brings Jew and Gentile, rich and poor, male and female into the single, unified humanity of God in Christ.</w:t>
      </w:r>
    </w:p>
    <w:sectPr>
      <w:pgSz w:w="12240" w:h="15840"/>
      <w:pgMar w:top="1440" w:right="1440" w:bottom="1440" w:left="1440" w:header="720" w:footer="720" w:gutter="0"/>
    </w:sectPr>
  </w:body>
</w:document>
</file>

<file path=word/styles.xml><?xml version="1.0" encoding="utf-8"?>
<w:styles xmlns:w="http://schemas.openxmlformats.org/wordprocessingml/2006/main">
  <w:docDefaults>
    <w:rPrDefault>
      <w:rPr>
        <w:rFonts w:ascii="Calibri" w:hAnsi="Calibri" w:cs="Calibri"/>
        <w:sz w:val="22"/>
        <w:color w:val="222222"/>
      </w:rPr>
    </w:rPrDefault>
  </w:docDefaults>
  <w:style w:type="paragraph" w:styleId="Normal" w:default="1">
    <w:name w:val="Normal"/>
  </w:style>
  <w:style w:type="paragraph" w:styleId="Heading1">
    <w:name w:val="heading 1"/>
    <w:rPr>
      <w:b/>
      <w:sz w:val="36"/>
      <w:color w:val="1F497D"/>
    </w:rPr>
  </w:style>
  <w:style w:type="paragraph" w:styleId="Heading2">
    <w:name w:val="heading 2"/>
    <w:rPr>
      <w:b/>
      <w:sz w:val="28"/>
      <w:color w:val="2C5E8A"/>
    </w:rPr>
  </w:style>
  <w:style w:type="paragraph" w:styleId="Heading3">
    <w:name w:val="heading 3"/>
    <w:rPr>
      <w:b/>
      <w:sz w:val="25"/>
      <w:color w:val="3B6998"/>
    </w:rPr>
  </w:style>
</w:styles>
</file>