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60" w:after="120"/>
      </w:pPr>
      <w:r>
        <w:rPr>
          <w:rFonts w:ascii="Calibri" w:hAnsi="Calibri"/>
          <w:b/>
          <w:sz w:val="36"/>
          <w:color w:val="1F497D"/>
        </w:rPr>
        <w:t>Two Kinds of Righteousness Series 2 Part 1 - Track 9</w:t>
      </w:r>
    </w:p>
    <w:p>
      <w:pPr>
        <w:pStyle w:val="Heading2"/>
        <w:spacing w:before="220" w:after="100"/>
      </w:pPr>
      <w:r>
        <w:rPr>
          <w:rFonts w:ascii="Calibri" w:hAnsi="Calibri"/>
          <w:b/>
          <w:sz w:val="28"/>
          <w:color w:val="2C5E8A"/>
        </w:rPr>
        <w:t>The Gospel According to the Scriptures</w:t>
      </w:r>
    </w:p>
    <w:p>
      <w:pPr>
        <w:spacing w:after="140" w:line="276" w:lineRule="auto"/>
      </w:pPr>
      <w:r>
        <w:rPr>
          <w:rFonts w:ascii="Calibri" w:hAnsi="Calibri"/>
          <w:sz w:val="22"/>
          <w:color w:val="222222"/>
        </w:rPr>
        <w:t xml:space="preserve">The Apostle Paul boldly declares in 1 Corinthians 15 that Christ died for our sins according to the Scriptures, that He was buried, and that He rose again the third day according to the Scriptures. To understand the gospel, one must first understand the scriptural backdrop from which it emerges. You cannot have the gospel without understanding the concept of exile, just as you cannot have Isaiah 52—the declaration of the good news—without first grasping the curses and the bondage that necessitated it. The exile is the overarching metaphor for humanity's state in sin. When Paul tells the Corinthians that if Christ is not raised, they are "yet in their sins," he is utilizing the imagery of exile to describe their spiritual condition.</w:t>
      </w:r>
    </w:p>
    <w:p>
      <w:pPr>
        <w:spacing w:after="140" w:line="276" w:lineRule="auto"/>
      </w:pPr>
      <w:r>
        <w:rPr>
          <w:rFonts w:ascii="Calibri" w:hAnsi="Calibri"/>
          <w:sz w:val="22"/>
          <w:color w:val="222222"/>
        </w:rPr>
        <w:t xml:space="preserve">To navigate the Old Testament correctly, one must realize that the writers of these ancient texts were human characters operating within human history. The Scriptures, though inspired by God, were penned by approximately forty individuals. God, in His infinite wisdom, navigated through these characters—their cultures, their limitations, and their moral failings—to weave the narrative of redemption.</w:t>
      </w:r>
    </w:p>
    <w:p>
      <w:pPr>
        <w:pStyle w:val="Heading2"/>
        <w:spacing w:before="220" w:after="100"/>
      </w:pPr>
      <w:r>
        <w:rPr>
          <w:rFonts w:ascii="Calibri" w:hAnsi="Calibri"/>
          <w:b/>
          <w:sz w:val="28"/>
          <w:color w:val="2C5E8A"/>
        </w:rPr>
        <w:t>Sufficient, but Not Efficient</w:t>
      </w:r>
    </w:p>
    <w:p>
      <w:pPr>
        <w:spacing w:after="140" w:line="276" w:lineRule="auto"/>
      </w:pPr>
      <w:r>
        <w:rPr>
          <w:rFonts w:ascii="Calibri" w:hAnsi="Calibri"/>
          <w:sz w:val="22"/>
          <w:color w:val="222222"/>
        </w:rPr>
        <w:t xml:space="preserve">A foundational principle for interpreting the Old Testament is understanding the difference between what is "efficient" and what is "sufficient." The methods and characters God used in the Old Testament were not efficient, but they were sufficient. For example, Abraham, who was justified by faith, had severe moral shortcomings. Moses was a murderer with a temper. Joseph's brothers were driven by murderous jealousy. None of these individuals or their actions represent an efficient way for a holy God to operate. However, they were sufficient for God to bring about His ultimate, efficient goal: the incarnation and sacrifice of Jesus Christ.</w:t>
      </w:r>
    </w:p>
    <w:p>
      <w:pPr>
        <w:spacing w:after="140" w:line="276" w:lineRule="auto"/>
      </w:pPr>
      <w:r>
        <w:rPr>
          <w:rFonts w:ascii="Calibri" w:hAnsi="Calibri"/>
          <w:sz w:val="22"/>
          <w:color w:val="222222"/>
        </w:rPr>
        <w:t xml:space="preserve">Consider the story of Joseph. To preserve the lineage of Abraham during a severe famine, an efficient method would have been for God to simply transport them to Egypt and grant them favor. Instead, the sufficient method available in a fallen world involved the deep jealousy of Joseph's brothers, the trauma of slavery, false accusations, and imprisonment. Yet, as Joseph later recognized, "you thought evil against me, but God meant it unto good." God did not endorse the brothers' evil, nor did He cause the slavery, but He utilized the brokenness of humanity to achieve a redemptive outcome.</w:t>
      </w:r>
    </w:p>
    <w:p>
      <w:pPr>
        <w:spacing w:after="140" w:line="276" w:lineRule="auto"/>
      </w:pPr>
      <w:r>
        <w:rPr>
          <w:rFonts w:ascii="Calibri" w:hAnsi="Calibri"/>
          <w:sz w:val="22"/>
          <w:color w:val="222222"/>
        </w:rPr>
        <w:t xml:space="preserve">Similarly, animal sacrifices like the Passover lamb were not efficient means to deal with human sin; they were merely shadows. Yet, they were sufficient to point toward the ultimate, efficient sacrifice of Christ. The cross itself is the pinnacle of this principle. The crucifixion was an unjust, violent act perpetrated by wicked men—Pilate, the Pharisees, Judas, and the Roman soldiers. God did not author their sin, but He used the unjust means of the cross to defeat injustice and secure eternal redemption. The cross was all God had to work with in a fallen world, and He made it the very wisdom and power of salvation.</w:t>
      </w:r>
    </w:p>
    <w:p>
      <w:pPr>
        <w:spacing w:after="140" w:line="276" w:lineRule="auto"/>
      </w:pPr>
      <w:r>
        <w:rPr>
          <w:rFonts w:ascii="Calibri" w:hAnsi="Calibri"/>
          <w:b/>
          <w:sz w:val="22"/>
          <w:color w:val="222222"/>
        </w:rPr>
        <w:t xml:space="preserve">1 Corinthians 15:3-4</w:t>
      </w:r>
    </w:p>
    <w:p>
      <w:pPr>
        <w:ind w:left="500"/>
        <w:spacing w:before="60" w:after="100"/>
      </w:pPr>
      <w:r>
        <w:rPr>
          <w:rFonts w:ascii="Calibri" w:hAnsi="Calibri"/>
          <w:b/>
          <w:sz w:val="21"/>
          <w:color w:val="1F497D"/>
        </w:rPr>
        <w:t xml:space="preserve">[3] </w:t>
      </w:r>
      <w:r>
        <w:rPr>
          <w:rFonts w:ascii="Calibri" w:hAnsi="Calibri"/>
          <w:sz w:val="21"/>
          <w:color w:val="1B365D"/>
        </w:rPr>
        <w:t xml:space="preserve">For I delivered unto you first of all that which I also received, how that Christ died for our sins according to the scriptures;</w:t>
      </w:r>
    </w:p>
    <w:p>
      <w:pPr>
        <w:ind w:left="500"/>
        <w:spacing w:before="60" w:after="100"/>
      </w:pPr>
      <w:r>
        <w:rPr>
          <w:rFonts w:ascii="Calibri" w:hAnsi="Calibri"/>
          <w:b/>
          <w:sz w:val="21"/>
          <w:color w:val="1F497D"/>
        </w:rPr>
        <w:t xml:space="preserve">[4] </w:t>
      </w:r>
      <w:r>
        <w:rPr>
          <w:rFonts w:ascii="Calibri" w:hAnsi="Calibri"/>
          <w:sz w:val="21"/>
          <w:color w:val="1B365D"/>
        </w:rPr>
        <w:t xml:space="preserve">And that he was buried, and that he rose again the third day according to the scriptures:</w:t>
      </w:r>
    </w:p>
    <w:p>
      <w:pPr>
        <w:spacing w:after="140" w:line="276" w:lineRule="auto"/>
      </w:pPr>
      <w:r>
        <w:rPr>
          <w:rFonts w:ascii="Calibri" w:hAnsi="Calibri"/>
          <w:b/>
          <w:sz w:val="22"/>
          <w:color w:val="222222"/>
        </w:rPr>
        <w:t xml:space="preserve">Genesis 50:20</w:t>
      </w:r>
    </w:p>
    <w:p>
      <w:pPr>
        <w:ind w:left="500"/>
        <w:spacing w:before="60" w:after="100"/>
      </w:pPr>
      <w:r>
        <w:rPr>
          <w:rFonts w:ascii="Calibri" w:hAnsi="Calibri"/>
          <w:b/>
          <w:sz w:val="21"/>
          <w:color w:val="1F497D"/>
        </w:rPr>
        <w:t xml:space="preserve">[20] </w:t>
      </w:r>
      <w:r>
        <w:rPr>
          <w:rFonts w:ascii="Calibri" w:hAnsi="Calibri"/>
          <w:sz w:val="21"/>
          <w:color w:val="1B365D"/>
        </w:rPr>
        <w:t xml:space="preserve">But as for you, ye thought evil against me; but God meant it unto good, to bring to pass, as it is this day, to save much people alive.</w:t>
      </w:r>
    </w:p>
    <w:p>
      <w:pPr>
        <w:pStyle w:val="Heading2"/>
        <w:spacing w:before="220" w:after="100"/>
      </w:pPr>
      <w:r>
        <w:rPr>
          <w:rFonts w:ascii="Calibri" w:hAnsi="Calibri"/>
          <w:b/>
          <w:sz w:val="28"/>
          <w:color w:val="2C5E8A"/>
        </w:rPr>
        <w:t>The Five Principles of Bible Study</w:t>
      </w:r>
    </w:p>
    <w:p>
      <w:pPr>
        <w:spacing w:after="140" w:line="276" w:lineRule="auto"/>
      </w:pPr>
      <w:r>
        <w:rPr>
          <w:rFonts w:ascii="Calibri" w:hAnsi="Calibri"/>
          <w:sz w:val="22"/>
          <w:color w:val="222222"/>
        </w:rPr>
        <w:t xml:space="preserve">To properly contextually analyze the Old Testament, five distinct principles drawn from the Pentateuch must be applied:</w:t>
      </w:r>
    </w:p>
    <w:p>
      <w:pPr>
        <w:spacing w:after="140" w:line="276" w:lineRule="auto"/>
      </w:pPr>
      <w:r>
        <w:rPr>
          <w:rFonts w:ascii="Calibri" w:hAnsi="Calibri"/>
          <w:sz w:val="22"/>
          <w:color w:val="222222"/>
        </w:rPr>
        <w:t xml:space="preserve">The Genesis Principle establishes the origin. It reveals God's original intent for humanity, the introduction of sin, and the foundational patterns of redemption. The Exodus Principle deals with deliverance from illegitimate governance and bondage, setting the stage for spiritual salvation. The Leviticus Principle introduces the necessity of worship; a delivered people must worship the Holy God. The Numbers Principle highlights the reality of human volition and disobedience, demonstrating that even a delivered people can harbor a hard heart. Finally, the Deuteronomy Principle represents the "second law"—God's accommodation to human weakness, re-explaining divine law through the lens of human limitation, as Jesus noted regarding Moses permitting divorce due to the hardness of their hearts.</w:t>
      </w:r>
    </w:p>
    <w:p>
      <w:pPr>
        <w:pStyle w:val="Heading2"/>
        <w:spacing w:before="220" w:after="100"/>
      </w:pPr>
      <w:r>
        <w:rPr>
          <w:rFonts w:ascii="Calibri" w:hAnsi="Calibri"/>
          <w:b/>
          <w:sz w:val="28"/>
          <w:color w:val="2C5E8A"/>
        </w:rPr>
        <w:t>Reading the Wars in Context</w:t>
      </w:r>
    </w:p>
    <w:p>
      <w:pPr>
        <w:spacing w:after="140" w:line="276" w:lineRule="auto"/>
      </w:pPr>
      <w:r>
        <w:rPr>
          <w:rFonts w:ascii="Calibri" w:hAnsi="Calibri"/>
          <w:sz w:val="22"/>
          <w:color w:val="222222"/>
        </w:rPr>
        <w:t xml:space="preserve">One of the most profound challenges in Old Testament theology is the presence of physical warfare, particularly the conquest of Canaan. It is essential to recognize that war was not an efficient means instituted by God; rather, it was a pervasive reality of the ancient Near Eastern world. Humanity governed itself through conquest. What we observe in Israel's history is God placing strict limitations on an already existing, violent human culture.</w:t>
      </w:r>
    </w:p>
    <w:p>
      <w:pPr>
        <w:spacing w:after="140" w:line="276" w:lineRule="auto"/>
      </w:pPr>
      <w:r>
        <w:rPr>
          <w:rFonts w:ascii="Calibri" w:hAnsi="Calibri"/>
          <w:sz w:val="22"/>
          <w:color w:val="222222"/>
        </w:rPr>
        <w:t xml:space="preserve">Israel's wars were highly restricted geographically and temporally. They were not commanded to conquer the entire globe, but only a specific location during a specific era. Furthermore, unlike the surrounding nations, Israel's wars were typically defensive or targeted specifically at eradicating the deeply entrenched, bestial idolatry of the Canaanites. By the time judgment fell upon Canaan, God had waited over four hundred years for their repentance.</w:t>
      </w:r>
    </w:p>
    <w:p>
      <w:pPr>
        <w:spacing w:after="140" w:line="276" w:lineRule="auto"/>
      </w:pPr>
      <w:r>
        <w:rPr>
          <w:rFonts w:ascii="Calibri" w:hAnsi="Calibri"/>
          <w:sz w:val="22"/>
          <w:color w:val="222222"/>
        </w:rPr>
        <w:t xml:space="preserve">God is not an author of war, nor is He an ethnic king who favors one race over another to the point of genocide. The prophets explicitly foresaw the inclusion of the Canaanites, Egyptians, Assyrians, and Babylonians into the family of God. Zechariah, Isaiah, and the Psalmist all prophesied Gentile salvation. The wars were a temporal, insufficient means of preserving the Messianic lineage in a brutal world until the Prince of Peace arrived.</w:t>
      </w:r>
    </w:p>
    <w:p>
      <w:pPr>
        <w:spacing w:after="140" w:line="276" w:lineRule="auto"/>
      </w:pPr>
      <w:r>
        <w:rPr>
          <w:rFonts w:ascii="Calibri" w:hAnsi="Calibri"/>
          <w:b/>
          <w:sz w:val="22"/>
          <w:color w:val="222222"/>
        </w:rPr>
        <w:t xml:space="preserve">Matthew 19:8</w:t>
      </w:r>
    </w:p>
    <w:p>
      <w:pPr>
        <w:ind w:left="500"/>
        <w:spacing w:before="60" w:after="100"/>
      </w:pPr>
      <w:r>
        <w:rPr>
          <w:rFonts w:ascii="Calibri" w:hAnsi="Calibri"/>
          <w:b/>
          <w:sz w:val="21"/>
          <w:color w:val="1F497D"/>
        </w:rPr>
        <w:t xml:space="preserve">[8] </w:t>
      </w:r>
      <w:r>
        <w:rPr>
          <w:rFonts w:ascii="Calibri" w:hAnsi="Calibri"/>
          <w:sz w:val="21"/>
          <w:color w:val="1B365D"/>
        </w:rPr>
        <w:t xml:space="preserve">He saith unto them, Moses because of the hardness of your hearts suffered you to put away your wives: but from the beginning it was not so.</w:t>
      </w:r>
    </w:p>
    <w:p>
      <w:pPr>
        <w:spacing w:after="140" w:line="276" w:lineRule="auto"/>
      </w:pPr>
      <w:r>
        <w:rPr>
          <w:rFonts w:ascii="Calibri" w:hAnsi="Calibri"/>
          <w:b/>
          <w:sz w:val="22"/>
          <w:color w:val="222222"/>
        </w:rPr>
        <w:t xml:space="preserve">Isaiah 19:24-25</w:t>
      </w:r>
    </w:p>
    <w:p>
      <w:pPr>
        <w:ind w:left="500"/>
        <w:spacing w:before="60" w:after="100"/>
      </w:pPr>
      <w:r>
        <w:rPr>
          <w:rFonts w:ascii="Calibri" w:hAnsi="Calibri"/>
          <w:b/>
          <w:sz w:val="21"/>
          <w:color w:val="1F497D"/>
        </w:rPr>
        <w:t xml:space="preserve">[24] </w:t>
      </w:r>
      <w:r>
        <w:rPr>
          <w:rFonts w:ascii="Calibri" w:hAnsi="Calibri"/>
          <w:sz w:val="21"/>
          <w:color w:val="1B365D"/>
        </w:rPr>
        <w:t xml:space="preserve">In that day shall Israel be the third with Egypt and with Assyria, even a blessing in the midst of the land:</w:t>
      </w:r>
    </w:p>
    <w:p>
      <w:pPr>
        <w:ind w:left="500"/>
        <w:spacing w:before="60" w:after="100"/>
      </w:pPr>
      <w:r>
        <w:rPr>
          <w:rFonts w:ascii="Calibri" w:hAnsi="Calibri"/>
          <w:b/>
          <w:sz w:val="21"/>
          <w:color w:val="1F497D"/>
        </w:rPr>
        <w:t xml:space="preserve">[25] </w:t>
      </w:r>
      <w:r>
        <w:rPr>
          <w:rFonts w:ascii="Calibri" w:hAnsi="Calibri"/>
          <w:sz w:val="21"/>
          <w:color w:val="1B365D"/>
        </w:rPr>
        <w:t xml:space="preserve">Whom the LORD of hosts shall bless, saying, Blessed be Egypt my people, and Assyria the work of my hands, and Israel mine inheritance.</w:t>
      </w:r>
    </w:p>
    <w:p>
      <w:pPr>
        <w:pStyle w:val="Heading2"/>
        <w:spacing w:before="220" w:after="100"/>
      </w:pPr>
      <w:r>
        <w:rPr>
          <w:rFonts w:ascii="Calibri" w:hAnsi="Calibri"/>
          <w:b/>
          <w:sz w:val="28"/>
          <w:color w:val="2C5E8A"/>
        </w:rPr>
        <w:t>The Myth of Universalism and the Reality of Hell</w:t>
      </w:r>
    </w:p>
    <w:p>
      <w:pPr>
        <w:spacing w:after="140" w:line="276" w:lineRule="auto"/>
      </w:pPr>
      <w:r>
        <w:rPr>
          <w:rFonts w:ascii="Calibri" w:hAnsi="Calibri"/>
          <w:sz w:val="22"/>
          <w:color w:val="222222"/>
        </w:rPr>
        <w:t xml:space="preserve">If God's ultimate desire is to bless all nations and bring the Gentiles into His fold, why does the Bible teach the existence of hell? This question often leads some to erroneously embrace universalism—the belief that all people, regardless of their choices, will eventually be saved.</w:t>
      </w:r>
    </w:p>
    <w:p>
      <w:pPr>
        <w:spacing w:after="140" w:line="276" w:lineRule="auto"/>
      </w:pPr>
      <w:r>
        <w:rPr>
          <w:rFonts w:ascii="Calibri" w:hAnsi="Calibri"/>
          <w:sz w:val="22"/>
          <w:color w:val="222222"/>
        </w:rPr>
        <w:t xml:space="preserve">However, universalism violates the very core of God's hospitality and human volition. True hospitality is not forcing hostile individuals to cohabitate with those who love peace. To force a person who despises God into His eternal presence is not salvation; it is a spiritual kidnapping. Hell, therefore, is the ultimate expression of human free will. It is a quarantine from the presence of God for those who obstinately refuse His grace. God loves His enemies and desires their salvation, as demonstrated when Christ died for us while we were yet sinners. But love cannot be imposed. Those who experience eternal destruction do so because they have chosen to be independent of God's mercy.</w:t>
      </w:r>
    </w:p>
    <w:p>
      <w:pPr>
        <w:spacing w:after="140" w:line="276" w:lineRule="auto"/>
      </w:pPr>
      <w:r>
        <w:rPr>
          <w:rFonts w:ascii="Calibri" w:hAnsi="Calibri"/>
          <w:b/>
          <w:sz w:val="22"/>
          <w:color w:val="222222"/>
        </w:rPr>
        <w:t xml:space="preserve">Romans 5:8</w:t>
      </w:r>
    </w:p>
    <w:p>
      <w:pPr>
        <w:ind w:left="500"/>
        <w:spacing w:before="60" w:after="100"/>
      </w:pPr>
      <w:r>
        <w:rPr>
          <w:rFonts w:ascii="Calibri" w:hAnsi="Calibri"/>
          <w:b/>
          <w:sz w:val="21"/>
          <w:color w:val="1F497D"/>
        </w:rPr>
        <w:t xml:space="preserve">[8] </w:t>
      </w:r>
      <w:r>
        <w:rPr>
          <w:rFonts w:ascii="Calibri" w:hAnsi="Calibri"/>
          <w:sz w:val="21"/>
          <w:color w:val="1B365D"/>
        </w:rPr>
        <w:t xml:space="preserve">But God commendeth his love toward us, in that, while we were yet sinners, Christ died for us.</w:t>
      </w:r>
    </w:p>
    <w:p>
      <w:pPr>
        <w:spacing w:after="140" w:line="276" w:lineRule="auto"/>
      </w:pPr>
      <w:r>
        <w:rPr>
          <w:rFonts w:ascii="Calibri" w:hAnsi="Calibri"/>
          <w:b/>
          <w:sz w:val="22"/>
          <w:color w:val="222222"/>
        </w:rPr>
        <w:t xml:space="preserve">2 Thessalonians 1:9</w:t>
      </w:r>
    </w:p>
    <w:p>
      <w:pPr>
        <w:ind w:left="500"/>
        <w:spacing w:before="60" w:after="100"/>
      </w:pPr>
      <w:r>
        <w:rPr>
          <w:rFonts w:ascii="Calibri" w:hAnsi="Calibri"/>
          <w:b/>
          <w:sz w:val="21"/>
          <w:color w:val="1F497D"/>
        </w:rPr>
        <w:t xml:space="preserve">[9] </w:t>
      </w:r>
      <w:r>
        <w:rPr>
          <w:rFonts w:ascii="Calibri" w:hAnsi="Calibri"/>
          <w:sz w:val="21"/>
          <w:color w:val="1B365D"/>
        </w:rPr>
        <w:t xml:space="preserve">Who shall be punished with everlasting destruction from the presence of the Lord, and from the glory of his power;</w:t>
      </w:r>
    </w:p>
    <w:p>
      <w:pPr>
        <w:pStyle w:val="Heading2"/>
        <w:spacing w:before="220" w:after="100"/>
      </w:pPr>
      <w:r>
        <w:rPr>
          <w:rFonts w:ascii="Calibri" w:hAnsi="Calibri"/>
          <w:b/>
          <w:sz w:val="28"/>
          <w:color w:val="2C5E8A"/>
        </w:rPr>
        <w:t>Distinguishing Old Testament Wars from Jihad and Crusades</w:t>
      </w:r>
    </w:p>
    <w:p>
      <w:pPr>
        <w:spacing w:after="140" w:line="276" w:lineRule="auto"/>
      </w:pPr>
      <w:r>
        <w:rPr>
          <w:rFonts w:ascii="Calibri" w:hAnsi="Calibri"/>
          <w:sz w:val="22"/>
          <w:color w:val="222222"/>
        </w:rPr>
        <w:t xml:space="preserve">It is intellectually dishonest for critics to equate the Old Testament conquests with either the historical Christian Crusades or Islamic Jihad. The Crusades, which occurred over a thousand years after Christ, were a violent departure from the clear teachings of Jesus, who explicitly commanded His followers to put away the sword and love their enemies. The Crusades were fought for territorial reclamation and political power, entirely misrepresenting the Gospel of peace.</w:t>
      </w:r>
    </w:p>
    <w:p>
      <w:pPr>
        <w:spacing w:after="140" w:line="276" w:lineRule="auto"/>
      </w:pPr>
      <w:r>
        <w:rPr>
          <w:rFonts w:ascii="Calibri" w:hAnsi="Calibri"/>
          <w:sz w:val="22"/>
          <w:color w:val="222222"/>
        </w:rPr>
        <w:t xml:space="preserve">Similarly, Islamic Jihad fundamentally differs from the Old Testament narratives. Jihad is an ongoing, global mandate to establish religious dominance by force, initiated by a founder who personally led dozens of aggressive military campaigns. In contrast, Israel's wars were restricted to a tiny strip of land, limited to a specific historical epoch, and strictly aimed at preserving a people from profound moral corruption until the Messiah could arrive. Once the "efficient" means—Jesus Christ—was established, the "inefficient" physical warfare was entirely abolished for the believer. Our warfare today is entirely spiritual, pulling down ideological strongholds through the preaching of the Gospel.</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styleId="Normal" w:default="1">
    <w:name w:val="Normal"/>
  </w:style>
  <w:style w:type="paragraph" w:styleId="Heading1">
    <w:name w:val="heading 1"/>
    <w:rPr>
      <w:b/>
      <w:sz w:val="36"/>
      <w:color w:val="1F497D"/>
    </w:rPr>
  </w:style>
  <w:style w:type="paragraph" w:styleId="Heading2">
    <w:name w:val="heading 2"/>
    <w:rPr>
      <w:b/>
      <w:sz w:val="28"/>
      <w:color w:val="2C5E8A"/>
    </w:rPr>
  </w:style>
  <w:style w:type="paragraph" w:styleId="Heading3">
    <w:name w:val="heading 3"/>
    <w:rPr>
      <w:b/>
      <w:sz w:val="25"/>
      <w:color w:val="3B6998"/>
    </w:rPr>
  </w:style>
</w:styles>
</file>