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10</w:t>
      </w:r>
    </w:p>
    <w:p>
      <w:pPr>
        <w:pStyle w:val="Heading2"/>
        <w:spacing w:before="220" w:after="100"/>
      </w:pPr>
      <w:r>
        <w:rPr>
          <w:rFonts w:ascii="Calibri" w:hAnsi="Calibri"/>
          <w:b/>
          <w:sz w:val="28"/>
          <w:color w:val="2C5E8A"/>
        </w:rPr>
        <w:t>The Teacher and the Torah</w:t>
      </w:r>
    </w:p>
    <w:p>
      <w:pPr>
        <w:spacing w:after="140" w:line="276" w:lineRule="auto"/>
      </w:pPr>
      <w:r>
        <w:rPr>
          <w:rFonts w:ascii="Calibri" w:hAnsi="Calibri"/>
          <w:sz w:val="22"/>
          <w:color w:val="222222"/>
        </w:rPr>
        <w:t xml:space="preserve">In Luke 24, after His resurrection, Jesus encounters two disciples on the road to Emmaus and rebukes them for being "fools and slow of heart to believe all that the prophets have spoken." Beginning with Moses and all the prophets, He systematically expounded the Scriptures concerning Himself. To appreciate this moment, we must understand the educational context of the first-century world. Jesus was recognized as a Rabbi—a revered teacher—despite not possessing the formal, elitist education of the Pharisees and Sadducees. The religious establishment was consistently astonished at His "didache" (systematic teaching) and His unparalleled authority.</w:t>
      </w:r>
    </w:p>
    <w:p>
      <w:pPr>
        <w:spacing w:after="140" w:line="276" w:lineRule="auto"/>
      </w:pPr>
      <w:r>
        <w:rPr>
          <w:rFonts w:ascii="Calibri" w:hAnsi="Calibri"/>
          <w:sz w:val="22"/>
          <w:color w:val="222222"/>
        </w:rPr>
        <w:t xml:space="preserve">In Jewish culture, the synagogue served as the primary institution of education. The study of the Scriptures was not merely a religious exercise; it was the foundation of all learning. When the Jewish elite observed Peter and John in Acts 4 and perceived them to be "unlearned and ignorant men" who nevertheless spoke with tremendous boldness, they marveled, recognizing that they had "been with Jesus." Their boldness was not the product of prestigious academic credentials, but of profound, systematic exposure to the Scriptures as interpreted by Christ.</w:t>
      </w:r>
    </w:p>
    <w:p>
      <w:pPr>
        <w:spacing w:after="140" w:line="276" w:lineRule="auto"/>
      </w:pPr>
      <w:r>
        <w:rPr>
          <w:rFonts w:ascii="Calibri" w:hAnsi="Calibri"/>
          <w:sz w:val="22"/>
          <w:color w:val="222222"/>
        </w:rPr>
        <w:t xml:space="preserve">This method of making the people understand the text is rooted deeply in the Old Testament, specifically in Nehemiah 8. When Ezra and the Levites read the Book of the Law, they did not simply recite it; they read it distinctly and "gave the sense," causing the people to understand the reading. The Hebrew word for understanding used there implies deep research, study, and the ability to bring concepts together.</w:t>
      </w:r>
    </w:p>
    <w:p>
      <w:pPr>
        <w:spacing w:after="140" w:line="276" w:lineRule="auto"/>
      </w:pPr>
      <w:r>
        <w:rPr>
          <w:rFonts w:ascii="Calibri" w:hAnsi="Calibri"/>
          <w:sz w:val="22"/>
          <w:color w:val="222222"/>
        </w:rPr>
        <w:t xml:space="preserve">Furthermore, it is a misconception to limit the "Torah" strictly to the written laws of Moses. The word Torah essentially means instruction, teaching, or a message. Long before Moses penned the Pentateuch, the Torah existed. In Genesis 26:5, God commended Abraham for obeying His voice, His charge, His commandments, His statutes, and His "Torah." The utterances of God—whether promises, warnings, or judgments—constitute His law. When God said "Let there be light," that was Torah. When He warned Adam and Eve about the tree of the knowledge of good and evil, that was Torah.</w:t>
      </w:r>
    </w:p>
    <w:p>
      <w:pPr>
        <w:spacing w:after="140" w:line="276" w:lineRule="auto"/>
      </w:pPr>
      <w:r>
        <w:rPr>
          <w:rFonts w:ascii="Calibri" w:hAnsi="Calibri"/>
          <w:b/>
          <w:sz w:val="22"/>
          <w:color w:val="222222"/>
        </w:rPr>
        <w:t xml:space="preserve">Luke 24:25-27</w:t>
      </w:r>
    </w:p>
    <w:p>
      <w:pPr>
        <w:ind w:left="500"/>
        <w:spacing w:before="60" w:after="100"/>
      </w:pPr>
      <w:r>
        <w:rPr>
          <w:rFonts w:ascii="Calibri" w:hAnsi="Calibri"/>
          <w:b/>
          <w:sz w:val="21"/>
          <w:color w:val="1F497D"/>
        </w:rPr>
        <w:t xml:space="preserve">[25] </w:t>
      </w:r>
      <w:r>
        <w:rPr>
          <w:rFonts w:ascii="Calibri" w:hAnsi="Calibri"/>
          <w:sz w:val="21"/>
          <w:color w:val="1B365D"/>
        </w:rPr>
        <w:t xml:space="preserve">Then he said unto them, O fools, and slow of heart to believe all that the prophets have spoken:</w:t>
      </w:r>
    </w:p>
    <w:p>
      <w:pPr>
        <w:ind w:left="500"/>
        <w:spacing w:before="60" w:after="100"/>
      </w:pPr>
      <w:r>
        <w:rPr>
          <w:rFonts w:ascii="Calibri" w:hAnsi="Calibri"/>
          <w:b/>
          <w:sz w:val="21"/>
          <w:color w:val="1F497D"/>
        </w:rPr>
        <w:t xml:space="preserve">[26] </w:t>
      </w:r>
      <w:r>
        <w:rPr>
          <w:rFonts w:ascii="Calibri" w:hAnsi="Calibri"/>
          <w:sz w:val="21"/>
          <w:color w:val="1B365D"/>
        </w:rPr>
        <w:t xml:space="preserve">Ought not Christ to have suffered these things, and to enter into his glory?</w:t>
      </w:r>
    </w:p>
    <w:p>
      <w:pPr>
        <w:ind w:left="500"/>
        <w:spacing w:before="60" w:after="100"/>
      </w:pPr>
      <w:r>
        <w:rPr>
          <w:rFonts w:ascii="Calibri" w:hAnsi="Calibri"/>
          <w:b/>
          <w:sz w:val="21"/>
          <w:color w:val="1F497D"/>
        </w:rPr>
        <w:t xml:space="preserve">[27] </w:t>
      </w:r>
      <w:r>
        <w:rPr>
          <w:rFonts w:ascii="Calibri" w:hAnsi="Calibri"/>
          <w:sz w:val="21"/>
          <w:color w:val="1B365D"/>
        </w:rPr>
        <w:t xml:space="preserve">And beginning at Moses and all the prophets, he expounded unto them in all the scriptures the things concerning himself.</w:t>
      </w:r>
    </w:p>
    <w:p>
      <w:pPr>
        <w:spacing w:after="140" w:line="276" w:lineRule="auto"/>
      </w:pPr>
      <w:r>
        <w:rPr>
          <w:rFonts w:ascii="Calibri" w:hAnsi="Calibri"/>
          <w:b/>
          <w:sz w:val="22"/>
          <w:color w:val="222222"/>
        </w:rPr>
        <w:t xml:space="preserve">Nehemiah 8:8</w:t>
      </w:r>
    </w:p>
    <w:p>
      <w:pPr>
        <w:ind w:left="500"/>
        <w:spacing w:before="60" w:after="100"/>
      </w:pPr>
      <w:r>
        <w:rPr>
          <w:rFonts w:ascii="Calibri" w:hAnsi="Calibri"/>
          <w:b/>
          <w:sz w:val="21"/>
          <w:color w:val="1F497D"/>
        </w:rPr>
        <w:t xml:space="preserve">[8] </w:t>
      </w:r>
      <w:r>
        <w:rPr>
          <w:rFonts w:ascii="Calibri" w:hAnsi="Calibri"/>
          <w:sz w:val="21"/>
          <w:color w:val="1B365D"/>
        </w:rPr>
        <w:t xml:space="preserve">So they read in the book in the law of God distinctly, and gave the sense, and caused them to understand the reading.</w:t>
      </w:r>
    </w:p>
    <w:p>
      <w:pPr>
        <w:pStyle w:val="Heading2"/>
        <w:spacing w:before="220" w:after="100"/>
      </w:pPr>
      <w:r>
        <w:rPr>
          <w:rFonts w:ascii="Calibri" w:hAnsi="Calibri"/>
          <w:b/>
          <w:sz w:val="28"/>
          <w:color w:val="2C5E8A"/>
        </w:rPr>
        <w:t>Epistles as Theological Shorthand</w:t>
      </w:r>
    </w:p>
    <w:p>
      <w:pPr>
        <w:spacing w:after="140" w:line="276" w:lineRule="auto"/>
      </w:pPr>
      <w:r>
        <w:rPr>
          <w:rFonts w:ascii="Calibri" w:hAnsi="Calibri"/>
          <w:sz w:val="22"/>
          <w:color w:val="222222"/>
        </w:rPr>
        <w:t xml:space="preserve">A common peril in modern Bible study is reading the New Testament Epistles in isolation from their Old Testament foundations. The Epistles should be viewed as "punchlines" or highly concentrated theological shorthand. When Paul uses a word like "redemption," he is not merely deploying a standalone Greek term; he is summarizing an entire, massive Old Testament narrative.</w:t>
      </w:r>
    </w:p>
    <w:p>
      <w:pPr>
        <w:spacing w:after="140" w:line="276" w:lineRule="auto"/>
      </w:pPr>
      <w:r>
        <w:rPr>
          <w:rFonts w:ascii="Calibri" w:hAnsi="Calibri"/>
          <w:sz w:val="22"/>
          <w:color w:val="222222"/>
        </w:rPr>
        <w:t xml:space="preserve">Behind the word "redemption" is the 400-year history of Israel's bondage in Egypt, the cruelty of Pharaoh, the Passover lamb, and the Exodus. If a reader lacks that Old Testament narrative, the New Testament word loses its profound depth and context. The same applies to terms like "baptism" (which evokes the crossing of the Red Sea or the Jordan River), "shepherd" (which evokes Moses leading the flock through the wilderness), or "sanctify" (which recalls being separated from the idolatry of Egypt).</w:t>
      </w:r>
    </w:p>
    <w:p>
      <w:pPr>
        <w:spacing w:after="140" w:line="276" w:lineRule="auto"/>
      </w:pPr>
      <w:r>
        <w:rPr>
          <w:rFonts w:ascii="Calibri" w:hAnsi="Calibri"/>
          <w:sz w:val="22"/>
          <w:color w:val="222222"/>
        </w:rPr>
        <w:t xml:space="preserve">Every feast mentioned in the Epistles—Passover, Pentecost, Unleavened Bread, Tabernacles—is inextricably linked to the Exodus narrative. Therefore, a teacher of the Scriptures cannot effectively explain the Epistles without thoroughly unpacking the Old Testament stories from which their vocabulary is derived. To teach the Epistles without the Old Testament is akin to a layperson trying to understand a doctor's heavily abbreviated medical prescription without any foundational medical training.</w:t>
      </w:r>
    </w:p>
    <w:p>
      <w:pPr>
        <w:pStyle w:val="Heading2"/>
        <w:spacing w:before="220" w:after="100"/>
      </w:pPr>
      <w:r>
        <w:rPr>
          <w:rFonts w:ascii="Calibri" w:hAnsi="Calibri"/>
          <w:b/>
          <w:sz w:val="28"/>
          <w:color w:val="2C5E8A"/>
        </w:rPr>
        <w:t>The Triad of Interpretation: Author, Text, and Reader</w:t>
      </w:r>
    </w:p>
    <w:p>
      <w:pPr>
        <w:spacing w:after="140" w:line="276" w:lineRule="auto"/>
      </w:pPr>
      <w:r>
        <w:rPr>
          <w:rFonts w:ascii="Calibri" w:hAnsi="Calibri"/>
          <w:sz w:val="22"/>
          <w:color w:val="222222"/>
        </w:rPr>
        <w:t xml:space="preserve">Proper scriptural interpretation is a delicate balance involving three elements: the author, the text, and the reader. While the author's original intent is paramount, the Old Testament writers were prophets whose words often carried predictive, eschatological meanings that transcended their immediate historical circumstances.</w:t>
      </w:r>
    </w:p>
    <w:p>
      <w:pPr>
        <w:spacing w:after="140" w:line="276" w:lineRule="auto"/>
      </w:pPr>
      <w:r>
        <w:rPr>
          <w:rFonts w:ascii="Calibri" w:hAnsi="Calibri"/>
          <w:sz w:val="22"/>
          <w:color w:val="222222"/>
        </w:rPr>
        <w:t xml:space="preserve">For instance, when Isaiah prophesied about a "servant" in Isaiah 53, his immediate historical context pointed to the nation of Israel, which was meant to be God's servant but had failed and gone into exile. Yet, the eschatological implication of the text pointed perfectly to Jesus Christ, the ultimate, suffering Servant. Paul later took the same text and applied it to the New Testament believers who preach the gospel. One text thus holds an immediate application, a Messianic fulfillment, and an ongoing relevance for the church.</w:t>
      </w:r>
    </w:p>
    <w:p>
      <w:pPr>
        <w:spacing w:after="140" w:line="276" w:lineRule="auto"/>
      </w:pPr>
      <w:r>
        <w:rPr>
          <w:rFonts w:ascii="Calibri" w:hAnsi="Calibri"/>
          <w:sz w:val="22"/>
          <w:color w:val="222222"/>
        </w:rPr>
        <w:t xml:space="preserve">This multi-layered, systematic theology is vital. We see this brilliantly displayed in Mark 11. Jesus curses the fig tree, cleanses the temple, and later instructs His disciples to have faith to move "this mountain." If read in isolation, it sounds like a generic formula for getting what one wants. However, when interpreted systematically, the fig tree and the temple both represent the unfruitful, corrupt religious system of Israel facing divine judgment. The "mountain" is a prophetic metaphor for an obstacle to God's presence. Jesus transitions from an Old Testament act of judgment to teaching about the necessity of forgiveness in prayer. Thus, interpreting Scripture requires intertextual corroboration—connecting Genesis to Isaiah to Mark to Paul—ensuring that our understanding is harmonized across the entire biblical canon.</w:t>
      </w:r>
    </w:p>
    <w:p>
      <w:pPr>
        <w:pStyle w:val="Heading2"/>
        <w:spacing w:before="220" w:after="100"/>
      </w:pPr>
      <w:r>
        <w:rPr>
          <w:rFonts w:ascii="Calibri" w:hAnsi="Calibri"/>
          <w:b/>
          <w:sz w:val="28"/>
          <w:color w:val="2C5E8A"/>
        </w:rPr>
        <w:t>Judgment, Justice, and the Love of God</w:t>
      </w:r>
    </w:p>
    <w:p>
      <w:pPr>
        <w:spacing w:after="140" w:line="276" w:lineRule="auto"/>
      </w:pPr>
      <w:r>
        <w:rPr>
          <w:rFonts w:ascii="Calibri" w:hAnsi="Calibri"/>
          <w:sz w:val="22"/>
          <w:color w:val="222222"/>
        </w:rPr>
        <w:t xml:space="preserve">A significant theological hurdle is reconciling the goodness of God with the biblical realities of judgment and justice. It is a grave error to equate God's justice with evil. No rational person calls a human judge an assassin for upholding the law and sentencing a criminal. Yet, when approaching Scripture, some attempt to strip God of all judgment to preserve a sanitized view of His love.</w:t>
      </w:r>
    </w:p>
    <w:p>
      <w:pPr>
        <w:spacing w:after="140" w:line="276" w:lineRule="auto"/>
      </w:pPr>
      <w:r>
        <w:rPr>
          <w:rFonts w:ascii="Calibri" w:hAnsi="Calibri"/>
          <w:sz w:val="22"/>
          <w:color w:val="222222"/>
        </w:rPr>
        <w:t xml:space="preserve">When God warned Adam in Genesis 2, "in the day that thou eatest thereof thou shalt surely die," He was declaring judgment. However, this stern judgment was an utterance of profound love. God was discerning the destructive nature of sin and warning humanity of the consequences of independence from Him. God is not the active executioner inflicting evil; rather, He established the spiritual reality that sin inherently produces death.</w:t>
      </w:r>
    </w:p>
    <w:p>
      <w:pPr>
        <w:spacing w:after="140" w:line="276" w:lineRule="auto"/>
      </w:pPr>
      <w:r>
        <w:rPr>
          <w:rFonts w:ascii="Calibri" w:hAnsi="Calibri"/>
          <w:sz w:val="22"/>
          <w:color w:val="222222"/>
        </w:rPr>
        <w:t xml:space="preserve">God judges against unbelief (katakrima). If humanity rejects the Author of Life, the inevitable consequence is destruction. To allow a person to perish because they obstinately refuse salvation is not evil; it is the ultimate, tragic fulfillment of human volition. God does not condemn the sinner; He condemns sin, and He provided the ultimate remedy through the sacrifice of Christ. Therefore, any systematic theology must realistically present both the unfathomable grace of God and the unavoidable reality of cause and effect for those who reject it.</w:t>
      </w:r>
    </w:p>
    <w:p>
      <w:pPr>
        <w:spacing w:after="140" w:line="276" w:lineRule="auto"/>
      </w:pPr>
      <w:r>
        <w:rPr>
          <w:rFonts w:ascii="Calibri" w:hAnsi="Calibri"/>
          <w:b/>
          <w:sz w:val="22"/>
          <w:color w:val="222222"/>
        </w:rPr>
        <w:t xml:space="preserve">Genesis 2:16-17</w:t>
      </w:r>
    </w:p>
    <w:p>
      <w:pPr>
        <w:ind w:left="500"/>
        <w:spacing w:before="60" w:after="100"/>
      </w:pPr>
      <w:r>
        <w:rPr>
          <w:rFonts w:ascii="Calibri" w:hAnsi="Calibri"/>
          <w:b/>
          <w:sz w:val="21"/>
          <w:color w:val="1F497D"/>
        </w:rPr>
        <w:t xml:space="preserve">[16] </w:t>
      </w:r>
      <w:r>
        <w:rPr>
          <w:rFonts w:ascii="Calibri" w:hAnsi="Calibri"/>
          <w:sz w:val="21"/>
          <w:color w:val="1B365D"/>
        </w:rPr>
        <w:t xml:space="preserve">And the LORD God commanded the man, saying, Of every tree of the garden thou mayest freely eat:</w:t>
      </w:r>
    </w:p>
    <w:p>
      <w:pPr>
        <w:ind w:left="500"/>
        <w:spacing w:before="60" w:after="100"/>
      </w:pPr>
      <w:r>
        <w:rPr>
          <w:rFonts w:ascii="Calibri" w:hAnsi="Calibri"/>
          <w:b/>
          <w:sz w:val="21"/>
          <w:color w:val="1F497D"/>
        </w:rPr>
        <w:t xml:space="preserve">[17] </w:t>
      </w:r>
      <w:r>
        <w:rPr>
          <w:rFonts w:ascii="Calibri" w:hAnsi="Calibri"/>
          <w:sz w:val="21"/>
          <w:color w:val="1B365D"/>
        </w:rPr>
        <w:t xml:space="preserve">But of the tree of the knowledge of good and evil, thou shalt not eat of it: for in the day that thou eatest thereof thou shalt surely die.</w:t>
      </w:r>
    </w:p>
    <w:p>
      <w:pPr>
        <w:spacing w:after="140" w:line="276" w:lineRule="auto"/>
      </w:pPr>
      <w:r>
        <w:rPr>
          <w:rFonts w:ascii="Calibri" w:hAnsi="Calibri"/>
          <w:b/>
          <w:sz w:val="22"/>
          <w:color w:val="222222"/>
        </w:rPr>
        <w:t xml:space="preserve">John 3:18</w:t>
      </w:r>
    </w:p>
    <w:p>
      <w:pPr>
        <w:ind w:left="500"/>
        <w:spacing w:before="60" w:after="100"/>
      </w:pPr>
      <w:r>
        <w:rPr>
          <w:rFonts w:ascii="Calibri" w:hAnsi="Calibri"/>
          <w:b/>
          <w:sz w:val="21"/>
          <w:color w:val="1F497D"/>
        </w:rPr>
        <w:t xml:space="preserve">[18] </w:t>
      </w:r>
      <w:r>
        <w:rPr>
          <w:rFonts w:ascii="Calibri" w:hAnsi="Calibri"/>
          <w:sz w:val="21"/>
          <w:color w:val="1B365D"/>
        </w:rPr>
        <w:t xml:space="preserve">He that believeth on him is not condemned: but he that believeth not is condemned already, because he hath not believed in the name of the only begotten Son of God.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