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19</w:t>
      </w:r>
    </w:p>
    <w:p>
      <w:pPr>
        <w:pStyle w:val="Heading2"/>
        <w:spacing w:before="220" w:after="100"/>
      </w:pPr>
      <w:r>
        <w:rPr>
          <w:rFonts w:ascii="Calibri" w:hAnsi="Calibri"/>
          <w:b/>
          <w:sz w:val="28"/>
          <w:color w:val="2C5E8A"/>
        </w:rPr>
        <w:t>The Systematic Theology of Jesus</w:t>
      </w:r>
    </w:p>
    <w:p>
      <w:pPr>
        <w:spacing w:after="140" w:line="276" w:lineRule="auto"/>
      </w:pPr>
      <w:r>
        <w:rPr>
          <w:rFonts w:ascii="Calibri" w:hAnsi="Calibri"/>
          <w:sz w:val="22"/>
          <w:color w:val="222222"/>
        </w:rPr>
        <w:t xml:space="preserve">On the road to Emmaus, Jesus demonstrated the ultimate method of systematic theology. He did not extract isolated verses to create new doctrines; rather, "beginning at Moses and all the prophets, he expounded unto them in all the scriptures the things concerning himself" (Luke 24:27). This establishes that the entire Old Testament contains a cohesive, singular message (</w:t>
      </w:r>
      <w:r>
        <w:rPr>
          <w:rFonts w:ascii="Calibri" w:hAnsi="Calibri"/>
          <w:i/>
          <w:sz w:val="22"/>
          <w:color w:val="222222"/>
        </w:rPr>
        <w:t xml:space="preserve">Logos</w:t>
      </w:r>
      <w:r>
        <w:rPr>
          <w:rFonts w:ascii="Calibri" w:hAnsi="Calibri"/>
          <w:sz w:val="22"/>
          <w:color w:val="222222"/>
        </w:rPr>
        <w:t xml:space="preserve">). Jesus operated as the ultimate Teacher of the Law. In the Sermon on the Mount, when He repeatedly stated, "Ye have heard that it was said by them of old time... But I say unto you" (Matthew 5), He was not contrasting or contradicting the Old Testament text. He was actively correcting the corrupted, literalistic interpretations of the Pharisees and returning the people to the true, spiritual intent of the Law. The Law of Moses, correctly understood, entirely corroborates and validates the message of Jesus Christ.</w:t>
      </w:r>
    </w:p>
    <w:p>
      <w:pPr>
        <w:spacing w:after="140" w:line="276" w:lineRule="auto"/>
      </w:pPr>
      <w:r>
        <w:rPr>
          <w:rFonts w:ascii="Calibri" w:hAnsi="Calibri"/>
          <w:sz w:val="22"/>
          <w:color w:val="222222"/>
        </w:rPr>
        <w:t xml:space="preserve">To accurately interpret the Old Testament, the student must recognize the dual worlds inhabited by its first author. Moses was educated in "all the wisdom of the Egyptians" (Acts 7:22), yet he was tasked with communicating the eternal theology of Yahweh to a Palestinian world. Consequently, Moses utilized the cultural framework, legal systems, and near-eastern imagery of his day as vehicles for divine truth. He employed elements of trade, commerce, and agriculture to explain the spiritual realities of God. The teacher of Scripture must bridge this gap, recognizing that the historical and cultural elements are the container, while the redemptive plan of God is the content.</w:t>
      </w:r>
    </w:p>
    <w:p>
      <w:pPr>
        <w:pStyle w:val="Heading2"/>
        <w:spacing w:before="220" w:after="100"/>
      </w:pPr>
      <w:r>
        <w:rPr>
          <w:rFonts w:ascii="Calibri" w:hAnsi="Calibri"/>
          <w:b/>
          <w:sz w:val="28"/>
          <w:color w:val="2C5E8A"/>
        </w:rPr>
        <w:t>The Mystery and the Parable</w:t>
      </w:r>
    </w:p>
    <w:p>
      <w:pPr>
        <w:spacing w:after="140" w:line="276" w:lineRule="auto"/>
      </w:pPr>
      <w:r>
        <w:rPr>
          <w:rFonts w:ascii="Calibri" w:hAnsi="Calibri"/>
          <w:sz w:val="22"/>
          <w:color w:val="222222"/>
        </w:rPr>
        <w:t xml:space="preserve">A crucial key to Old Testament hermeneutics is the proper understanding of mysteries and parables. In modern religious vernacular, a "mystery" (</w:t>
      </w:r>
      <w:r>
        <w:rPr>
          <w:rFonts w:ascii="Calibri" w:hAnsi="Calibri"/>
          <w:i/>
          <w:sz w:val="22"/>
          <w:color w:val="222222"/>
        </w:rPr>
        <w:t xml:space="preserve">musterion</w:t>
      </w:r>
      <w:r>
        <w:rPr>
          <w:rFonts w:ascii="Calibri" w:hAnsi="Calibri"/>
          <w:sz w:val="22"/>
          <w:color w:val="222222"/>
        </w:rPr>
        <w:t xml:space="preserve">) is often thought of as an unknowable, spooky secret. However, biblically, a mystery simply refers to a truth that is obscured by the unbelief and darkened understanding of the human heart. To answer these mysteries, the biblical writers employed parables. A parable (</w:t>
      </w:r>
      <w:r>
        <w:rPr>
          <w:rFonts w:ascii="Calibri" w:hAnsi="Calibri"/>
          <w:i/>
          <w:sz w:val="22"/>
          <w:color w:val="222222"/>
        </w:rPr>
        <w:t xml:space="preserve">mashal</w:t>
      </w:r>
      <w:r>
        <w:rPr>
          <w:rFonts w:ascii="Calibri" w:hAnsi="Calibri"/>
          <w:sz w:val="22"/>
          <w:color w:val="222222"/>
        </w:rPr>
        <w:t xml:space="preserve"> in Hebrew, </w:t>
      </w:r>
      <w:r>
        <w:rPr>
          <w:rFonts w:ascii="Calibri" w:hAnsi="Calibri"/>
          <w:i/>
          <w:sz w:val="22"/>
          <w:color w:val="222222"/>
        </w:rPr>
        <w:t xml:space="preserve">parabole</w:t>
      </w:r>
      <w:r>
        <w:rPr>
          <w:rFonts w:ascii="Calibri" w:hAnsi="Calibri"/>
          <w:sz w:val="22"/>
          <w:color w:val="222222"/>
        </w:rPr>
        <w:t xml:space="preserve"> in Greek) is not merely a quaint moral story. It is an illustration designed to cross over from the natural to the spiritual, bridging the gap between human ignorance and divine truth.</w:t>
      </w:r>
    </w:p>
    <w:p>
      <w:pPr>
        <w:spacing w:after="140" w:line="276" w:lineRule="auto"/>
      </w:pPr>
      <w:r>
        <w:rPr>
          <w:rFonts w:ascii="Calibri" w:hAnsi="Calibri"/>
          <w:sz w:val="22"/>
          <w:color w:val="222222"/>
        </w:rPr>
        <w:t xml:space="preserve">As Psalm 78:2 declares, "I will open my mouth in a parable: I will utter dark sayings of old." The "dark sayings" (</w:t>
      </w:r>
      <w:r>
        <w:rPr>
          <w:rFonts w:ascii="Calibri" w:hAnsi="Calibri"/>
          <w:i/>
          <w:sz w:val="22"/>
          <w:color w:val="222222"/>
        </w:rPr>
        <w:t xml:space="preserve">chiddah</w:t>
      </w:r>
      <w:r>
        <w:rPr>
          <w:rFonts w:ascii="Calibri" w:hAnsi="Calibri"/>
          <w:sz w:val="22"/>
          <w:color w:val="222222"/>
        </w:rPr>
        <w:t xml:space="preserve">) are the perplexing questions of humanity regarding sin, death, and redemption. The parables are the divine answers. The writer of Hebrews explicitly states that the entire Old Testament tabernacle, with its worldly sanctuary, was a "parable" (figure) for the time then present (Hebrews 9:9). Furthermore, historical events were parables. When Abraham offered Isaac on Mount Moriah, he received him back "in a figure" or parable (Hebrews 11:19). The Old Testament is not merely a history book; it is a meticulously constructed series of historical parables pointing to the work of Christ.</w:t>
      </w:r>
    </w:p>
    <w:p>
      <w:pPr>
        <w:spacing w:after="140" w:line="276" w:lineRule="auto"/>
      </w:pPr>
      <w:r>
        <w:rPr>
          <w:rFonts w:ascii="Calibri" w:hAnsi="Calibri"/>
          <w:b/>
          <w:sz w:val="22"/>
          <w:color w:val="222222"/>
        </w:rPr>
        <w:t xml:space="preserve">Hebrews 9:9</w:t>
      </w:r>
    </w:p>
    <w:p>
      <w:pPr>
        <w:ind w:left="500"/>
        <w:spacing w:before="60" w:after="100"/>
      </w:pPr>
      <w:r>
        <w:rPr>
          <w:rFonts w:ascii="Calibri" w:hAnsi="Calibri"/>
          <w:b/>
          <w:sz w:val="21"/>
          <w:color w:val="1F497D"/>
        </w:rPr>
        <w:t xml:space="preserve">[9] </w:t>
      </w:r>
      <w:r>
        <w:rPr>
          <w:rFonts w:ascii="Calibri" w:hAnsi="Calibri"/>
          <w:sz w:val="21"/>
          <w:color w:val="1B365D"/>
        </w:rPr>
        <w:t xml:space="preserve">Which was a figure for the time then present, in which were offered both gifts and sacrifices, that could not make him that did the service perfect, as pertaining to the conscience;</w:t>
      </w:r>
    </w:p>
    <w:p>
      <w:pPr>
        <w:spacing w:after="140" w:line="276" w:lineRule="auto"/>
      </w:pPr>
      <w:r>
        <w:rPr>
          <w:rFonts w:ascii="Calibri" w:hAnsi="Calibri"/>
          <w:b/>
          <w:sz w:val="22"/>
          <w:color w:val="222222"/>
        </w:rPr>
        <w:t xml:space="preserve">Hebrews 11:19</w:t>
      </w:r>
    </w:p>
    <w:p>
      <w:pPr>
        <w:ind w:left="500"/>
        <w:spacing w:before="60" w:after="100"/>
      </w:pPr>
      <w:r>
        <w:rPr>
          <w:rFonts w:ascii="Calibri" w:hAnsi="Calibri"/>
          <w:b/>
          <w:sz w:val="21"/>
          <w:color w:val="1F497D"/>
        </w:rPr>
        <w:t xml:space="preserve">[19] </w:t>
      </w:r>
      <w:r>
        <w:rPr>
          <w:rFonts w:ascii="Calibri" w:hAnsi="Calibri"/>
          <w:sz w:val="21"/>
          <w:color w:val="1B365D"/>
        </w:rPr>
        <w:t xml:space="preserve">Accounting that God was able to raise him up, even from the dead; from whence also he received him in a figure.</w:t>
      </w:r>
    </w:p>
    <w:p>
      <w:pPr>
        <w:pStyle w:val="Heading2"/>
        <w:spacing w:before="220" w:after="100"/>
      </w:pPr>
      <w:r>
        <w:rPr>
          <w:rFonts w:ascii="Calibri" w:hAnsi="Calibri"/>
          <w:b/>
          <w:sz w:val="28"/>
          <w:color w:val="2C5E8A"/>
        </w:rPr>
        <w:t>Genesis as the Foundation of the World</w:t>
      </w:r>
    </w:p>
    <w:p>
      <w:pPr>
        <w:spacing w:after="140" w:line="276" w:lineRule="auto"/>
      </w:pPr>
      <w:r>
        <w:rPr>
          <w:rFonts w:ascii="Calibri" w:hAnsi="Calibri"/>
          <w:sz w:val="22"/>
          <w:color w:val="222222"/>
        </w:rPr>
        <w:t xml:space="preserve">The book of Genesis is the foundation of biblical parabolic theology. When the New Testament speaks of things ordained "before the foundation of the world" (using the Greek word </w:t>
      </w:r>
      <w:r>
        <w:rPr>
          <w:rFonts w:ascii="Calibri" w:hAnsi="Calibri"/>
          <w:i/>
          <w:sz w:val="22"/>
          <w:color w:val="222222"/>
        </w:rPr>
        <w:t xml:space="preserve">katabole</w:t>
      </w:r>
      <w:r>
        <w:rPr>
          <w:rFonts w:ascii="Calibri" w:hAnsi="Calibri"/>
          <w:sz w:val="22"/>
          <w:color w:val="222222"/>
        </w:rPr>
        <w:t xml:space="preserve">, meaning the arrangement or conception of things), it is referring directly to the Genesis account. The creation narrative itself is a profound parable. God bringing light out of darkness, dividing the waters, and separating the seed after its kind are all parabolic illustrations of the new creation in Christ. Even the institution of marriage—the man and his bride—is a parable of Christ and the Church (Ephesians 5:31-32).</w:t>
      </w:r>
    </w:p>
    <w:p>
      <w:pPr>
        <w:spacing w:after="140" w:line="276" w:lineRule="auto"/>
      </w:pPr>
      <w:r>
        <w:rPr>
          <w:rFonts w:ascii="Calibri" w:hAnsi="Calibri"/>
          <w:sz w:val="22"/>
          <w:color w:val="222222"/>
        </w:rPr>
        <w:t xml:space="preserve">If a theological concept cannot be traced back to the "genealogy" of Genesis, it is not sound biblical theology. Every New Testament writer—Paul, Peter, James, John, and Jude—anchored their explanations of faith, redemption, and judgment in the foundational truths established in Genesis. Genesis introduces the core narrative arc of the entire Bible: the promise of God, the rebellion of man, the resulting bondage of death, and the hope of a redemptive Seed.</w:t>
      </w:r>
    </w:p>
    <w:p>
      <w:pPr>
        <w:pStyle w:val="Heading2"/>
        <w:spacing w:before="220" w:after="100"/>
      </w:pPr>
      <w:r>
        <w:rPr>
          <w:rFonts w:ascii="Calibri" w:hAnsi="Calibri"/>
          <w:b/>
          <w:sz w:val="28"/>
          <w:color w:val="2C5E8A"/>
        </w:rPr>
        <w:t>The Parabolic Nature of Sonship</w:t>
      </w:r>
    </w:p>
    <w:p>
      <w:pPr>
        <w:spacing w:after="140" w:line="276" w:lineRule="auto"/>
      </w:pPr>
      <w:r>
        <w:rPr>
          <w:rFonts w:ascii="Calibri" w:hAnsi="Calibri"/>
          <w:sz w:val="22"/>
          <w:color w:val="222222"/>
        </w:rPr>
        <w:t xml:space="preserve">The biblical concept of "sonship" has been severely misunderstood because it is often interpreted purely through the lens of modern biology. In Scripture, sonship is a parabolic concept defined by two major Old Testament events: the birth of Isaac and the Exodus of Israel.</w:t>
      </w:r>
    </w:p>
    <w:p>
      <w:pPr>
        <w:spacing w:after="140" w:line="276" w:lineRule="auto"/>
      </w:pPr>
      <w:r>
        <w:rPr>
          <w:rFonts w:ascii="Calibri" w:hAnsi="Calibri"/>
          <w:sz w:val="22"/>
          <w:color w:val="222222"/>
        </w:rPr>
        <w:t xml:space="preserve">First, Isaac represents the son born from the dead (Abraham's dead body and Sarah's dead womb). He stands in stark contrast to Ishmael, who was born of the flesh and represented bondage. Second, Israel is called God's "firstborn" son in Exodus 4:22. The Exodus defines a son as one who is delivered from the tyranny of a dictator (Pharaoh/death), led out of bondage, and brought into an inheritance. Therefore, when Paul says Jesus was "declared to be the Son of God with power... by the resurrection from the dead" (Romans 1:4), he is applying the parabolic definition of sonship. Jesus is the ultimate Isaac and the ultimate Israel. While the incarnation (God becoming flesh) is singularly unique to Jesus (</w:t>
      </w:r>
      <w:r>
        <w:rPr>
          <w:rFonts w:ascii="Calibri" w:hAnsi="Calibri"/>
          <w:i/>
          <w:sz w:val="22"/>
          <w:color w:val="222222"/>
        </w:rPr>
        <w:t xml:space="preserve">monogenes</w:t>
      </w:r>
      <w:r>
        <w:rPr>
          <w:rFonts w:ascii="Calibri" w:hAnsi="Calibri"/>
          <w:sz w:val="22"/>
          <w:color w:val="222222"/>
        </w:rPr>
        <w:t xml:space="preserve">), His sonship via resurrection (</w:t>
      </w:r>
      <w:r>
        <w:rPr>
          <w:rFonts w:ascii="Calibri" w:hAnsi="Calibri"/>
          <w:i/>
          <w:sz w:val="22"/>
          <w:color w:val="222222"/>
        </w:rPr>
        <w:t xml:space="preserve">prototokos</w:t>
      </w:r>
      <w:r>
        <w:rPr>
          <w:rFonts w:ascii="Calibri" w:hAnsi="Calibri"/>
          <w:sz w:val="22"/>
          <w:color w:val="222222"/>
        </w:rPr>
        <w:t xml:space="preserve">) establishes the model for all believers. As many as are led by the Spirit (the Exodus out of death), they are the sons of God.</w:t>
      </w:r>
    </w:p>
    <w:p>
      <w:pPr>
        <w:pStyle w:val="Heading2"/>
        <w:spacing w:before="220" w:after="100"/>
      </w:pPr>
      <w:r>
        <w:rPr>
          <w:rFonts w:ascii="Calibri" w:hAnsi="Calibri"/>
          <w:b/>
          <w:sz w:val="28"/>
          <w:color w:val="2C5E8A"/>
        </w:rPr>
        <w:t>Redefining the Blessing</w:t>
      </w:r>
    </w:p>
    <w:p>
      <w:pPr>
        <w:spacing w:after="140" w:line="276" w:lineRule="auto"/>
      </w:pPr>
      <w:r>
        <w:rPr>
          <w:rFonts w:ascii="Calibri" w:hAnsi="Calibri"/>
          <w:sz w:val="22"/>
          <w:color w:val="222222"/>
        </w:rPr>
        <w:t xml:space="preserve">Finally, the biblical concept of "the blessing" (</w:t>
      </w:r>
      <w:r>
        <w:rPr>
          <w:rFonts w:ascii="Calibri" w:hAnsi="Calibri"/>
          <w:i/>
          <w:sz w:val="22"/>
          <w:color w:val="222222"/>
        </w:rPr>
        <w:t xml:space="preserve">barak</w:t>
      </w:r>
      <w:r>
        <w:rPr>
          <w:rFonts w:ascii="Calibri" w:hAnsi="Calibri"/>
          <w:sz w:val="22"/>
          <w:color w:val="222222"/>
        </w:rPr>
        <w:t xml:space="preserve"> in Hebrew, </w:t>
      </w:r>
      <w:r>
        <w:rPr>
          <w:rFonts w:ascii="Calibri" w:hAnsi="Calibri"/>
          <w:i/>
          <w:sz w:val="22"/>
          <w:color w:val="222222"/>
        </w:rPr>
        <w:t xml:space="preserve">makarios</w:t>
      </w:r>
      <w:r>
        <w:rPr>
          <w:rFonts w:ascii="Calibri" w:hAnsi="Calibri"/>
          <w:sz w:val="22"/>
          <w:color w:val="222222"/>
        </w:rPr>
        <w:t xml:space="preserve"> or </w:t>
      </w:r>
      <w:r>
        <w:rPr>
          <w:rFonts w:ascii="Calibri" w:hAnsi="Calibri"/>
          <w:i/>
          <w:sz w:val="22"/>
          <w:color w:val="222222"/>
        </w:rPr>
        <w:t xml:space="preserve">eulogetos</w:t>
      </w:r>
      <w:r>
        <w:rPr>
          <w:rFonts w:ascii="Calibri" w:hAnsi="Calibri"/>
          <w:sz w:val="22"/>
          <w:color w:val="222222"/>
        </w:rPr>
        <w:t xml:space="preserve"> in Greek) must be rescued from modern, materialistic distortion. From its first mention in Genesis, the word "blessed" means to speak well of, to congratulate, or to invoke divine favor. It is fundamentally a speech or a pronouncement, not an accumulation of material wealth.</w:t>
      </w:r>
    </w:p>
    <w:p>
      <w:pPr>
        <w:spacing w:after="140" w:line="276" w:lineRule="auto"/>
      </w:pPr>
      <w:r>
        <w:rPr>
          <w:rFonts w:ascii="Calibri" w:hAnsi="Calibri"/>
          <w:sz w:val="22"/>
          <w:color w:val="222222"/>
        </w:rPr>
        <w:t xml:space="preserve">This is unequivocally proven by the lives of the patriarchs. Ishmael possessed immense natural wealth and fathered twelve princes, yet the blessing was not upon him. Esau possessed a vast army and great riches, yet the blessing rested upon Jacob, who fled with nothing but a staff. The blessing was the promise of the redemptive Seed—the Christ. To be blessed is to be fortunate enough to receive the truth of the Gospel. It is an enduring spiritual reality that remains true whether a believer is experiencing abundance or suffering persecution for righteousness' sake.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