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spacing w:before="260" w:after="120"/>
      </w:pPr>
      <w:r>
        <w:rPr>
          <w:rFonts w:ascii="Calibri" w:hAnsi="Calibri"/>
          <w:b/>
          <w:sz w:val="36"/>
          <w:color w:val="1F497D"/>
        </w:rPr>
        <w:t>Two Kinds of Righteousness Series 2 Part 1 - Track 22</w:t>
      </w:r>
    </w:p>
    <w:p>
      <w:pPr>
        <w:pStyle w:val="Heading2"/>
        <w:spacing w:before="220" w:after="100"/>
      </w:pPr>
      <w:r>
        <w:rPr>
          <w:rFonts w:ascii="Calibri" w:hAnsi="Calibri"/>
          <w:b/>
          <w:sz w:val="28"/>
          <w:color w:val="2C5E8A"/>
        </w:rPr>
        <w:t>Theology and the Tragedy of History</w:t>
      </w:r>
    </w:p>
    <w:p>
      <w:pPr>
        <w:spacing w:after="140" w:line="276" w:lineRule="auto"/>
      </w:pPr>
      <w:r>
        <w:rPr>
          <w:rFonts w:ascii="Calibri" w:hAnsi="Calibri"/>
          <w:sz w:val="22"/>
          <w:color w:val="222222"/>
        </w:rPr>
        <w:t xml:space="preserve">When studying the Old Testament, we must confront a difficult historical reality: theology has frequently been the driving force behind the world's most significant events, including its greatest atrocities. Throughout history—from the transatlantic slave trade to apartheid in South Africa—proponents of oppression have misused biblical texts, specifically the laws of Moses, to justify institutional slavery and racism. It is a historical tragedy that as captive Africans were being loaded onto slave ships, some of their captors were holding church services, believing their actions were sanctioned by scripture.</w:t>
      </w:r>
    </w:p>
    <w:p>
      <w:pPr>
        <w:spacing w:after="140" w:line="276" w:lineRule="auto"/>
      </w:pPr>
      <w:r>
        <w:rPr>
          <w:rFonts w:ascii="Calibri" w:hAnsi="Calibri"/>
          <w:sz w:val="22"/>
          <w:color w:val="222222"/>
        </w:rPr>
        <w:t xml:space="preserve">If we do not interpret the biblical texts correctly, we run the grave risk of attributing human cruelty to the character of God. The Bible is a book of persuasion, and the failure to accurately interpret its context has led millions to misunderstand the nature of God. We must approach the Mosaic laws not as a divine endorsement of human oppression, but as a temporary, legislative attempt to regulate a fallen world while pointing toward the ultimate promise of Christ.</w:t>
      </w:r>
    </w:p>
    <w:p>
      <w:pPr>
        <w:pStyle w:val="Heading2"/>
        <w:spacing w:before="220" w:after="100"/>
      </w:pPr>
      <w:r>
        <w:rPr>
          <w:rFonts w:ascii="Calibri" w:hAnsi="Calibri"/>
          <w:b/>
          <w:sz w:val="28"/>
          <w:color w:val="2C5E8A"/>
        </w:rPr>
        <w:t>Understanding Ancient Servanthood vs. Chattel Slavery</w:t>
      </w:r>
    </w:p>
    <w:p>
      <w:pPr>
        <w:spacing w:after="140" w:line="276" w:lineRule="auto"/>
      </w:pPr>
      <w:r>
        <w:rPr>
          <w:rFonts w:ascii="Calibri" w:hAnsi="Calibri"/>
          <w:sz w:val="22"/>
          <w:color w:val="222222"/>
        </w:rPr>
        <w:t xml:space="preserve">To properly interpret the biblical texts concerning "slavery," we must first correct a fundamental translation error. The servanthood described in the Law of Moses is radically different from the transatlantic chattel slavery of the modern era. Modern slave trading involved kidnapping people, treating them exclusively as property, and stripping them of their racial, emotional, and human identity.</w:t>
      </w:r>
    </w:p>
    <w:p>
      <w:pPr>
        <w:spacing w:after="140" w:line="276" w:lineRule="auto"/>
      </w:pPr>
      <w:r>
        <w:rPr>
          <w:rFonts w:ascii="Calibri" w:hAnsi="Calibri"/>
          <w:sz w:val="22"/>
          <w:color w:val="222222"/>
        </w:rPr>
        <w:t xml:space="preserve">In the Hebrew culture, the system was one of </w:t>
      </w:r>
      <w:r>
        <w:rPr>
          <w:rFonts w:ascii="Calibri" w:hAnsi="Calibri"/>
          <w:i/>
          <w:sz w:val="22"/>
          <w:color w:val="222222"/>
        </w:rPr>
        <w:t xml:space="preserve">indentured servitude</w:t>
      </w:r>
      <w:r>
        <w:rPr>
          <w:rFonts w:ascii="Calibri" w:hAnsi="Calibri"/>
          <w:sz w:val="22"/>
          <w:color w:val="222222"/>
        </w:rPr>
        <w:t xml:space="preserve"> driven by poverty, not kidnapping. It was a contractual arrangement entered into voluntarily to discharge a debt or survive economic hardship. The Hebrew term </w:t>
      </w:r>
      <w:r>
        <w:rPr>
          <w:rFonts w:ascii="Calibri" w:hAnsi="Calibri"/>
          <w:i/>
          <w:sz w:val="22"/>
          <w:color w:val="222222"/>
        </w:rPr>
        <w:t xml:space="preserve">adon</w:t>
      </w:r>
      <w:r>
        <w:rPr>
          <w:rFonts w:ascii="Calibri" w:hAnsi="Calibri"/>
          <w:sz w:val="22"/>
          <w:color w:val="222222"/>
        </w:rPr>
        <w:t xml:space="preserve"> is better translated as "boss" or "employer," and </w:t>
      </w:r>
      <w:r>
        <w:rPr>
          <w:rFonts w:ascii="Calibri" w:hAnsi="Calibri"/>
          <w:i/>
          <w:sz w:val="22"/>
          <w:color w:val="222222"/>
        </w:rPr>
        <w:t xml:space="preserve">ebed</w:t>
      </w:r>
      <w:r>
        <w:rPr>
          <w:rFonts w:ascii="Calibri" w:hAnsi="Calibri"/>
          <w:sz w:val="22"/>
          <w:color w:val="222222"/>
        </w:rPr>
        <w:t xml:space="preserve"> as "employee" or "servant." It was an economic necessity in an agrarian society lacking modern bankruptcy protections. In fact, kidnapping a person to sell them into slavery—the very foundation of the modern slave trade—was explicitly punishable by death under the Law of Moses (Exodus 21:16). Paul echoes this by listing "menstealers" (kidnappers) among the lawless (1 Timothy 1:10).</w:t>
      </w:r>
    </w:p>
    <w:p>
      <w:pPr>
        <w:spacing w:after="140" w:line="276" w:lineRule="auto"/>
      </w:pPr>
      <w:r>
        <w:rPr>
          <w:rFonts w:ascii="Calibri" w:hAnsi="Calibri"/>
          <w:b/>
          <w:sz w:val="22"/>
          <w:color w:val="222222"/>
        </w:rPr>
        <w:t xml:space="preserve">Exodus 21:16</w:t>
      </w:r>
    </w:p>
    <w:p>
      <w:pPr>
        <w:ind w:left="500"/>
        <w:spacing w:before="60" w:after="100"/>
      </w:pPr>
      <w:r>
        <w:rPr>
          <w:rFonts w:ascii="Calibri" w:hAnsi="Calibri"/>
          <w:b/>
          <w:sz w:val="21"/>
          <w:color w:val="1F497D"/>
        </w:rPr>
        <w:t xml:space="preserve">[16] </w:t>
      </w:r>
      <w:r>
        <w:rPr>
          <w:rFonts w:ascii="Calibri" w:hAnsi="Calibri"/>
          <w:sz w:val="21"/>
          <w:color w:val="1B365D"/>
        </w:rPr>
        <w:t xml:space="preserve">And he that stealeth a man, and selleth him, or if he be found in his hand, he shall surely be put to death.</w:t>
      </w:r>
    </w:p>
    <w:p>
      <w:pPr>
        <w:pStyle w:val="Heading2"/>
        <w:spacing w:before="220" w:after="100"/>
      </w:pPr>
      <w:r>
        <w:rPr>
          <w:rFonts w:ascii="Calibri" w:hAnsi="Calibri"/>
          <w:b/>
          <w:sz w:val="28"/>
          <w:color w:val="2C5E8A"/>
        </w:rPr>
        <w:t>The Mosaic Amendments: Humanizing a Brutal World</w:t>
      </w:r>
    </w:p>
    <w:p>
      <w:pPr>
        <w:spacing w:after="140" w:line="276" w:lineRule="auto"/>
      </w:pPr>
      <w:r>
        <w:rPr>
          <w:rFonts w:ascii="Calibri" w:hAnsi="Calibri"/>
          <w:sz w:val="22"/>
          <w:color w:val="222222"/>
        </w:rPr>
        <w:t xml:space="preserve">Moses was a legislator educated in the ancient Near Eastern world, a world governed by brutal legal codes like the Code of Hammurabi, the Hittite laws, and the Eshnunna laws. In those surrounding cultures, slavery was an absolute, lifelong institution. Masters had absolute power, and slaves were mere property, often mutilated or tattooed for identification.</w:t>
      </w:r>
    </w:p>
    <w:p>
      <w:pPr>
        <w:spacing w:after="140" w:line="276" w:lineRule="auto"/>
      </w:pPr>
      <w:r>
        <w:rPr>
          <w:rFonts w:ascii="Calibri" w:hAnsi="Calibri"/>
          <w:sz w:val="22"/>
          <w:color w:val="222222"/>
        </w:rPr>
        <w:t xml:space="preserve">Moses took the existing harsh realities of his day and radically amended them to protect the vulnerable. The Mosaic legislation was not God's perfect, eternal will, but it was a vast, unprecedented improvement upon the surrounding cultures. Moses introduced fundamental human rights into the ancient world.</w:t>
      </w:r>
    </w:p>
    <w:p>
      <w:pPr>
        <w:spacing w:after="140" w:line="276" w:lineRule="auto"/>
      </w:pPr>
      <w:r>
        <w:rPr>
          <w:rFonts w:ascii="Calibri" w:hAnsi="Calibri"/>
          <w:sz w:val="22"/>
          <w:color w:val="222222"/>
        </w:rPr>
        <w:t xml:space="preserve">For instance, while surrounding nations allowed lifelong servitude, Moses instituted the mandatory seventh-year release. Regardless of the unpaid debt, after six years of service, the servant had to be set free (Deuteronomy 15:12). This law systematically prevented the establishment of permanent generational slavery. Furthermore, the law demanded that the employer not send the servant away empty-handed, but furnish him liberally to prevent him from immediately falling back into poverty.</w:t>
      </w:r>
    </w:p>
    <w:p>
      <w:pPr>
        <w:pStyle w:val="Heading2"/>
        <w:spacing w:before="220" w:after="100"/>
      </w:pPr>
      <w:r>
        <w:rPr>
          <w:rFonts w:ascii="Calibri" w:hAnsi="Calibri"/>
          <w:b/>
          <w:sz w:val="28"/>
          <w:color w:val="2C5E8A"/>
        </w:rPr>
        <w:t>Unprecedented Legal Protections</w:t>
      </w:r>
    </w:p>
    <w:p>
      <w:pPr>
        <w:spacing w:after="140" w:line="276" w:lineRule="auto"/>
      </w:pPr>
      <w:r>
        <w:rPr>
          <w:rFonts w:ascii="Calibri" w:hAnsi="Calibri"/>
          <w:sz w:val="22"/>
          <w:color w:val="222222"/>
        </w:rPr>
        <w:t xml:space="preserve">Moses granted legal protections to servants that were unheard of in the ancient world. Under the Code of Hammurabi, if an employer injured a servant, compensation was paid to the servant's owner, not the servant. In stark contrast, Moses decreed that if an employer injured a servant—even knocking out a single tooth or an eye—the servant was immediately granted full freedom as compensation (Exodus 21:26-27).</w:t>
      </w:r>
    </w:p>
    <w:p>
      <w:pPr>
        <w:spacing w:after="140" w:line="276" w:lineRule="auto"/>
      </w:pPr>
      <w:r>
        <w:rPr>
          <w:rFonts w:ascii="Calibri" w:hAnsi="Calibri"/>
          <w:sz w:val="22"/>
          <w:color w:val="222222"/>
        </w:rPr>
        <w:t xml:space="preserve">If an employer killed a servant, it was treated and punished as murder. Most remarkably, unlike any other law code of the ancient Near East, Moses forbade returning a runaway servant to his master. In the surrounding nations, harboring a runaway slave was punishable by death, and returned slaves were severely mutilated. But Moses commanded: "Thou shalt not deliver unto his master the servant which is escaped from his master unto thee: He shall dwell with thee... thou shalt not oppress him" (Deuteronomy 23:15-16). This provided asylum and completely undermined the absolute authority of the "master."</w:t>
      </w:r>
    </w:p>
    <w:p>
      <w:pPr>
        <w:pStyle w:val="Heading2"/>
        <w:spacing w:before="220" w:after="100"/>
      </w:pPr>
      <w:r>
        <w:rPr>
          <w:rFonts w:ascii="Calibri" w:hAnsi="Calibri"/>
          <w:b/>
          <w:sz w:val="28"/>
          <w:color w:val="2C5E8A"/>
        </w:rPr>
        <w:t>Redemption and Practical Righteousness</w:t>
      </w:r>
    </w:p>
    <w:p>
      <w:pPr>
        <w:spacing w:after="140" w:line="276" w:lineRule="auto"/>
      </w:pPr>
      <w:r>
        <w:rPr>
          <w:rFonts w:ascii="Calibri" w:hAnsi="Calibri"/>
          <w:sz w:val="22"/>
          <w:color w:val="222222"/>
        </w:rPr>
        <w:t xml:space="preserve">The driving theological motivation behind these compassionate laws was redemption. God consistently commanded the Israelites to treat the poor and the servant with dignity </w:t>
      </w:r>
      <w:r>
        <w:rPr>
          <w:rFonts w:ascii="Calibri" w:hAnsi="Calibri"/>
          <w:i/>
          <w:sz w:val="22"/>
          <w:color w:val="222222"/>
        </w:rPr>
        <w:t xml:space="preserve">because</w:t>
      </w:r>
      <w:r>
        <w:rPr>
          <w:rFonts w:ascii="Calibri" w:hAnsi="Calibri"/>
          <w:sz w:val="22"/>
          <w:color w:val="222222"/>
        </w:rPr>
        <w:t xml:space="preserve"> they themselves had been slaves in Egypt, and Yahweh had redeemed them (Deuteronomy 15:15). The memory of their own deliverance from tyranny was to be the ethical foundation of their society.</w:t>
      </w:r>
    </w:p>
    <w:p>
      <w:pPr>
        <w:spacing w:after="140" w:line="276" w:lineRule="auto"/>
      </w:pPr>
      <w:r>
        <w:rPr>
          <w:rFonts w:ascii="Calibri" w:hAnsi="Calibri"/>
          <w:sz w:val="22"/>
          <w:color w:val="222222"/>
        </w:rPr>
        <w:t xml:space="preserve">This reveals a crucial aspect of biblical righteousness (</w:t>
      </w:r>
      <w:r>
        <w:rPr>
          <w:rFonts w:ascii="Calibri" w:hAnsi="Calibri"/>
          <w:i/>
          <w:sz w:val="22"/>
          <w:color w:val="222222"/>
        </w:rPr>
        <w:t xml:space="preserve">tsedeqah</w:t>
      </w:r>
      <w:r>
        <w:rPr>
          <w:rFonts w:ascii="Calibri" w:hAnsi="Calibri"/>
          <w:sz w:val="22"/>
          <w:color w:val="222222"/>
        </w:rPr>
        <w:t xml:space="preserve">). Righteousness is not merely a legal standing or a forensic justification; it involves doing what is right and executing justice in a fallen world. When Phinehas acted zealously to stop a plague and protect the nation (Numbers 25), his action was "counted unto him for righteousness" (Psalm 106:30-31)—the exact same phrase applied to Abraham's faith.</w:t>
      </w:r>
    </w:p>
    <w:p>
      <w:pPr>
        <w:spacing w:after="140" w:line="276" w:lineRule="auto"/>
      </w:pPr>
      <w:r>
        <w:rPr>
          <w:rFonts w:ascii="Calibri" w:hAnsi="Calibri"/>
          <w:sz w:val="22"/>
          <w:color w:val="222222"/>
        </w:rPr>
        <w:t xml:space="preserve">Phinehas operated under the Old Covenant, executing justice with a physical javelin because that was the earthly shadow available to him. Today, because Christ is the end of the law, believers still execute righteousness and stand against the plagues of sin and injustice, but we do so using spiritual weapons. The ultimate goal of the Law of Moses was to lead humanity to the law of love, fulfilling the righteous requirement of God through the Spirit.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222222"/>
      </w:rPr>
    </w:rPrDefault>
  </w:docDefaults>
  <w:style w:type="paragraph" w:styleId="Normal" w:default="1">
    <w:name w:val="Normal"/>
  </w:style>
  <w:style w:type="paragraph" w:styleId="Heading1">
    <w:name w:val="heading 1"/>
    <w:rPr>
      <w:b/>
      <w:sz w:val="36"/>
      <w:color w:val="1F497D"/>
    </w:rPr>
  </w:style>
  <w:style w:type="paragraph" w:styleId="Heading2">
    <w:name w:val="heading 2"/>
    <w:rPr>
      <w:b/>
      <w:sz w:val="28"/>
      <w:color w:val="2C5E8A"/>
    </w:rPr>
  </w:style>
  <w:style w:type="paragraph" w:styleId="Heading3">
    <w:name w:val="heading 3"/>
    <w:rPr>
      <w:b/>
      <w:sz w:val="25"/>
      <w:color w:val="3B6998"/>
    </w:rPr>
  </w:style>
</w:styles>
</file>