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23</w:t>
      </w:r>
    </w:p>
    <w:p>
      <w:pPr>
        <w:pStyle w:val="Heading2"/>
        <w:spacing w:before="220" w:after="100"/>
      </w:pPr>
      <w:r>
        <w:rPr>
          <w:rFonts w:ascii="Calibri" w:hAnsi="Calibri"/>
          <w:b/>
          <w:sz w:val="28"/>
          <w:color w:val="2C5E8A"/>
        </w:rPr>
        <w:t>The Prophets and the Pedagogy of the Law</w:t>
      </w:r>
    </w:p>
    <w:p>
      <w:pPr>
        <w:spacing w:after="140" w:line="276" w:lineRule="auto"/>
      </w:pPr>
      <w:r>
        <w:rPr>
          <w:rFonts w:ascii="Calibri" w:hAnsi="Calibri"/>
          <w:sz w:val="22"/>
          <w:color w:val="222222"/>
        </w:rPr>
        <w:t xml:space="preserve">When Jesus and the Apostles expounded the Scriptures, they systematically divided them into "Moses" and "The Prophets" (Luke 24:25-27, Acts 28:23). This distinction is critical for biblical interpretation. The Prophets were not merely fortune-tellers; they were the preachers, judges, and interpreters of the Torah. And the Torah—specifically Genesis—was not a book of disconnected legislation; it was the revelation of the promise made to Abraham. The teaching ministry, as exemplified in Nehemiah 8:7-8, exists to "give the sense" and cause the people to understand this law, moving past raw historical data to extract the underlying spiritual doctrine.</w:t>
      </w:r>
    </w:p>
    <w:p>
      <w:pPr>
        <w:spacing w:after="140" w:line="276" w:lineRule="auto"/>
      </w:pPr>
      <w:r>
        <w:rPr>
          <w:rFonts w:ascii="Calibri" w:hAnsi="Calibri"/>
          <w:sz w:val="22"/>
          <w:color w:val="222222"/>
        </w:rPr>
        <w:t xml:space="preserve">To understand the laws of Moses, we must recognize that they were not given in a vacuum. Moses was governing a carnal, "stiff-necked" people accustomed to four hundred years of Egyptian slavery and thoroughly steeped in the religious and social norms of the ancient Near East. Therefore, many of the Mosaic laws were not expressions of God's perfect, eternal ideal, but concessions to human weakness. It was a divine realism designed to gradually reform a fallen society. Moses constantly navigated the tension between the perfect eternal promise of Genesis and the brutal reality of an ancient, patriarchal, and violent culture.</w:t>
      </w:r>
    </w:p>
    <w:p>
      <w:pPr>
        <w:pStyle w:val="Heading2"/>
        <w:spacing w:before="220" w:after="100"/>
      </w:pPr>
      <w:r>
        <w:rPr>
          <w:rFonts w:ascii="Calibri" w:hAnsi="Calibri"/>
          <w:b/>
          <w:sz w:val="28"/>
          <w:color w:val="2C5E8A"/>
        </w:rPr>
        <w:t>Redefining Righteousness: The Execution of Justice</w:t>
      </w:r>
    </w:p>
    <w:p>
      <w:pPr>
        <w:spacing w:after="140" w:line="276" w:lineRule="auto"/>
      </w:pPr>
      <w:r>
        <w:rPr>
          <w:rFonts w:ascii="Calibri" w:hAnsi="Calibri"/>
          <w:sz w:val="22"/>
          <w:color w:val="222222"/>
        </w:rPr>
        <w:t xml:space="preserve">Righteousness in the Old Testament must be understood comprehensively. It is not merely the New Testament forensic concept of justification by faith devoid of works. Righteousness (</w:t>
      </w:r>
      <w:r>
        <w:rPr>
          <w:rFonts w:ascii="Calibri" w:hAnsi="Calibri"/>
          <w:i/>
          <w:sz w:val="22"/>
          <w:color w:val="222222"/>
        </w:rPr>
        <w:t xml:space="preserve">tsedeqah</w:t>
      </w:r>
      <w:r>
        <w:rPr>
          <w:rFonts w:ascii="Calibri" w:hAnsi="Calibri"/>
          <w:sz w:val="22"/>
          <w:color w:val="222222"/>
        </w:rPr>
        <w:t xml:space="preserve">) means justice, right conduct, and actively putting things in their proper place.</w:t>
      </w:r>
    </w:p>
    <w:p>
      <w:pPr>
        <w:spacing w:after="140" w:line="276" w:lineRule="auto"/>
      </w:pPr>
      <w:r>
        <w:rPr>
          <w:rFonts w:ascii="Calibri" w:hAnsi="Calibri"/>
          <w:sz w:val="22"/>
          <w:color w:val="222222"/>
        </w:rPr>
        <w:t xml:space="preserve">When Abraham believed God, it was "accounted" (</w:t>
      </w:r>
      <w:r>
        <w:rPr>
          <w:rFonts w:ascii="Calibri" w:hAnsi="Calibri"/>
          <w:i/>
          <w:sz w:val="22"/>
          <w:color w:val="222222"/>
        </w:rPr>
        <w:t xml:space="preserve">shashab</w:t>
      </w:r>
      <w:r>
        <w:rPr>
          <w:rFonts w:ascii="Calibri" w:hAnsi="Calibri"/>
          <w:sz w:val="22"/>
          <w:color w:val="222222"/>
        </w:rPr>
        <w:t xml:space="preserve"> in Hebrew, </w:t>
      </w:r>
      <w:r>
        <w:rPr>
          <w:rFonts w:ascii="Calibri" w:hAnsi="Calibri"/>
          <w:i/>
          <w:sz w:val="22"/>
          <w:color w:val="222222"/>
        </w:rPr>
        <w:t xml:space="preserve">logizomai</w:t>
      </w:r>
      <w:r>
        <w:rPr>
          <w:rFonts w:ascii="Calibri" w:hAnsi="Calibri"/>
          <w:sz w:val="22"/>
          <w:color w:val="222222"/>
        </w:rPr>
        <w:t xml:space="preserve"> in Greek) to him for righteousness (Genesis 15:6). It was recorded in his account that he was positioned correctly before God. However, in Psalm 106:30-31, we see the exact same phrase applied to a completely different scenario. When Phinehas the priest executed justice with a javelin to stop a plague resulting from Israel's idolatry and sexual immorality (Numbers 25), his violent action was "counted unto him for righteousness unto all generations." Phinehas did not act out of saving faith in the finished work of Christ; he acted to execute justice and rectify a gross evil in his generation. Righteousness, therefore, involves actively addressing and rectifying wrongs in the world according to the covenant available at the time.</w:t>
      </w:r>
    </w:p>
    <w:p>
      <w:pPr>
        <w:pStyle w:val="Heading2"/>
        <w:spacing w:before="220" w:after="100"/>
      </w:pPr>
      <w:r>
        <w:rPr>
          <w:rFonts w:ascii="Calibri" w:hAnsi="Calibri"/>
          <w:b/>
          <w:sz w:val="28"/>
          <w:color w:val="2C5E8A"/>
        </w:rPr>
        <w:t>The Biblical Ideal vs. Ancient Patriarchy</w:t>
      </w:r>
    </w:p>
    <w:p>
      <w:pPr>
        <w:spacing w:after="140" w:line="276" w:lineRule="auto"/>
      </w:pPr>
      <w:r>
        <w:rPr>
          <w:rFonts w:ascii="Calibri" w:hAnsi="Calibri"/>
          <w:sz w:val="22"/>
          <w:color w:val="222222"/>
        </w:rPr>
        <w:t xml:space="preserve">A major point of controversy in interpreting the Old Testament is the treatment of women. The Bible is frequently accused of promoting misogyny, patriarchy, and the objectification of women. To answer these objections, the biblical teacher must distinguish between the fallen culture of the ancient Near East and the redemptive trajectory of Scripture.</w:t>
      </w:r>
    </w:p>
    <w:p>
      <w:pPr>
        <w:spacing w:after="140" w:line="276" w:lineRule="auto"/>
      </w:pPr>
      <w:r>
        <w:rPr>
          <w:rFonts w:ascii="Calibri" w:hAnsi="Calibri"/>
          <w:sz w:val="22"/>
          <w:color w:val="222222"/>
        </w:rPr>
        <w:t xml:space="preserve">The true biblical ideal is not found in the cultural concessions of the Mosaic Law, but in the creation narrative of Genesis 1 and 2. In the beginning, male and female were both created in the image of God and both were given the mandate to subdue the earth and rule. There was absolute equality in the divine design. Furthermore, after the fall, it is the "seed of the woman" that is prophesied to crush the head of the serpent (Genesis 3:15). Throughout the Old Testament narratives, God consistently elevated women—such as Sarah, Rebekah, Miriam, Deborah, and Esther—to positions of profound influence and leadership, far above their status in the surrounding pagan cultures.</w:t>
      </w:r>
    </w:p>
    <w:p>
      <w:pPr>
        <w:pStyle w:val="Heading2"/>
        <w:spacing w:before="220" w:after="100"/>
      </w:pPr>
      <w:r>
        <w:rPr>
          <w:rFonts w:ascii="Calibri" w:hAnsi="Calibri"/>
          <w:b/>
          <w:sz w:val="28"/>
          <w:color w:val="2C5E8A"/>
        </w:rPr>
        <w:t>Correcting the Culture: The Elevation of Women</w:t>
      </w:r>
    </w:p>
    <w:p>
      <w:pPr>
        <w:spacing w:after="140" w:line="276" w:lineRule="auto"/>
      </w:pPr>
      <w:r>
        <w:rPr>
          <w:rFonts w:ascii="Calibri" w:hAnsi="Calibri"/>
          <w:sz w:val="22"/>
          <w:color w:val="222222"/>
        </w:rPr>
        <w:t xml:space="preserve">In the ancient Near Eastern laws (such as the Code of Hammurabi and the Hittite laws), women were largely treated as property under the absolute control of men. Moses radically amended this. For example, he commanded Israel to "Honor thy father and thy mother" (Exodus 20:12)—elevating the mother to equal respect with the father, a concept foreign to surrounding nations (Leviticus 19:3).</w:t>
      </w:r>
    </w:p>
    <w:p>
      <w:pPr>
        <w:spacing w:after="140" w:line="276" w:lineRule="auto"/>
      </w:pPr>
      <w:r>
        <w:rPr>
          <w:rFonts w:ascii="Calibri" w:hAnsi="Calibri"/>
          <w:sz w:val="22"/>
          <w:color w:val="222222"/>
        </w:rPr>
        <w:t xml:space="preserve">While the Mosaic Law still contained patriarchal elements, such as male-only priesthood or specific inheritance laws, these were temporary concessions to the culture, not the eternal decree of God. In fact, Moses deliberately excluded women from the priesthood not out of misogyny, but to forcefully separate Israel from the Canaanite fertility cults, which heavily utilized female temple prostitutes. When the daughters of Zelophehad challenged the patriarchal inheritance laws (Numbers 27), Moses inquired of the Lord, and the laws were amended to grant them their inheritance, demonstrating that the overarching goal of the law was justice, not male supremacy.</w:t>
      </w:r>
    </w:p>
    <w:p>
      <w:pPr>
        <w:spacing w:after="140" w:line="276" w:lineRule="auto"/>
      </w:pPr>
      <w:r>
        <w:rPr>
          <w:rFonts w:ascii="Calibri" w:hAnsi="Calibri"/>
          <w:sz w:val="22"/>
          <w:color w:val="222222"/>
        </w:rPr>
        <w:t xml:space="preserve">Jesus and Paul continued this redemptive trajectory. Jesus shattered the cultural norms of His day by teaching women theology (Mary of Bethany), engaging them in public dialogue (the Samaritan woman), appearing first to women after the resurrection, and commissioning them as the first apostles to preach the Gospel to the men. The overarching hermeneutical principle for interpreting difficult cultural texts is the motive of divine love: God meets humanity in the mud of its fallen culture to gradually elevate it back to the Genesis ideal of perfect equality and unity in Christ.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