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spacing w:before="260" w:after="120"/>
      </w:pPr>
      <w:r>
        <w:rPr>
          <w:rFonts w:ascii="Calibri" w:hAnsi="Calibri"/>
          <w:b/>
          <w:sz w:val="36"/>
          <w:color w:val="1F497D"/>
        </w:rPr>
        <w:t>Two Kinds of Righteousness Series 2 Part 1 - Track 5</w:t>
      </w:r>
    </w:p>
    <w:p>
      <w:pPr>
        <w:pStyle w:val="Heading3"/>
        <w:spacing w:before="180" w:after="80"/>
      </w:pPr>
      <w:r>
        <w:rPr>
          <w:rFonts w:ascii="Calibri" w:hAnsi="Calibri"/>
          <w:b/>
          <w:sz w:val="25"/>
          <w:color w:val="3B6998"/>
        </w:rPr>
        <w:t>The Scholastic Framework of Systematic Theology</w:t>
      </w:r>
    </w:p>
    <w:p>
      <w:pPr>
        <w:spacing w:after="140" w:line="276" w:lineRule="auto"/>
      </w:pPr>
      <w:r>
        <w:rPr>
          <w:rFonts w:ascii="Calibri" w:hAnsi="Calibri"/>
          <w:sz w:val="22"/>
          <w:color w:val="222222"/>
        </w:rPr>
        <w:t xml:space="preserve">The study of the Scriptures requires an orderly, systematic approach rather than a momentary or emotional reaction. We begin our study by asking God to guide our hearts and provide wisdom and insight into the knowledge of His Son, Jesus Christ, that the church might be edified and the Scriptures made clear.</w:t>
      </w:r>
    </w:p>
    <w:p>
      <w:pPr>
        <w:spacing w:after="140" w:line="276" w:lineRule="auto"/>
      </w:pPr>
      <w:r>
        <w:rPr>
          <w:rFonts w:ascii="Calibri" w:hAnsi="Calibri"/>
          <w:sz w:val="22"/>
          <w:color w:val="222222"/>
        </w:rPr>
        <w:t xml:space="preserve">In the first epistle to the Corinthians, the Apostle Paul outlines the fundamental declaration of the Gospel:</w:t>
      </w:r>
    </w:p>
    <w:p>
      <w:pPr>
        <w:spacing w:after="140" w:line="276" w:lineRule="auto"/>
      </w:pPr>
      <w:r>
        <w:rPr>
          <w:rFonts w:ascii="Calibri" w:hAnsi="Calibri"/>
          <w:sz w:val="22"/>
          <w:color w:val="222222"/>
        </w:rPr>
        <w:t xml:space="preserve">1 Corinthians 15:1-4</w:t>
      </w:r>
    </w:p>
    <w:p>
      <w:pPr>
        <w:ind w:left="500"/>
        <w:spacing w:before="60" w:after="100"/>
      </w:pPr>
      <w:r>
        <w:rPr>
          <w:rFonts w:ascii="Calibri" w:hAnsi="Calibri"/>
          <w:b/>
          <w:sz w:val="21"/>
          <w:color w:val="1F497D"/>
        </w:rPr>
        <w:t xml:space="preserve">[1] </w:t>
      </w:r>
      <w:r>
        <w:rPr>
          <w:rFonts w:ascii="Calibri" w:hAnsi="Calibri"/>
          <w:sz w:val="21"/>
          <w:color w:val="1B365D"/>
        </w:rPr>
        <w:t xml:space="preserve">Moreover, brethren, I declare unto you the gospel which I preached unto you, which also ye have received, and wherein ye stand;</w:t>
      </w:r>
    </w:p>
    <w:p>
      <w:pPr>
        <w:ind w:left="500"/>
        <w:spacing w:before="60" w:after="100"/>
      </w:pPr>
      <w:r>
        <w:rPr>
          <w:rFonts w:ascii="Calibri" w:hAnsi="Calibri"/>
          <w:b/>
          <w:sz w:val="21"/>
          <w:color w:val="1F497D"/>
        </w:rPr>
        <w:t xml:space="preserve">[2] </w:t>
      </w:r>
      <w:r>
        <w:rPr>
          <w:rFonts w:ascii="Calibri" w:hAnsi="Calibri"/>
          <w:sz w:val="21"/>
          <w:color w:val="1B365D"/>
        </w:rPr>
        <w:t xml:space="preserve">By which also ye are saved, if ye keep in memory what I preached unto you, unless ye have believed in vain.</w:t>
      </w:r>
    </w:p>
    <w:p>
      <w:pPr>
        <w:ind w:left="500"/>
        <w:spacing w:before="60" w:after="100"/>
      </w:pPr>
      <w:r>
        <w:rPr>
          <w:rFonts w:ascii="Calibri" w:hAnsi="Calibri"/>
          <w:b/>
          <w:sz w:val="21"/>
          <w:color w:val="1F497D"/>
        </w:rPr>
        <w:t xml:space="preserve">[3] </w:t>
      </w:r>
      <w:r>
        <w:rPr>
          <w:rFonts w:ascii="Calibri" w:hAnsi="Calibri"/>
          <w:sz w:val="21"/>
          <w:color w:val="1B365D"/>
        </w:rPr>
        <w:t xml:space="preserve">For I delivered unto you first of all that which I also received, how that Christ died for our sins according to the scriptures;</w:t>
      </w:r>
    </w:p>
    <w:p>
      <w:pPr>
        <w:ind w:left="500"/>
        <w:spacing w:before="60" w:after="100"/>
      </w:pPr>
      <w:r>
        <w:rPr>
          <w:rFonts w:ascii="Calibri" w:hAnsi="Calibri"/>
          <w:b/>
          <w:sz w:val="21"/>
          <w:color w:val="1F497D"/>
        </w:rPr>
        <w:t xml:space="preserve">[4] </w:t>
      </w:r>
      <w:r>
        <w:rPr>
          <w:rFonts w:ascii="Calibri" w:hAnsi="Calibri"/>
          <w:sz w:val="21"/>
          <w:color w:val="1B365D"/>
        </w:rPr>
        <w:t xml:space="preserve">And that he was buried, and that he rose again the third day according to the scriptures:</w:t>
      </w:r>
    </w:p>
    <w:p>
      <w:pPr>
        <w:spacing w:after="140" w:line="276" w:lineRule="auto"/>
      </w:pPr>
      <w:r>
        <w:rPr>
          <w:rFonts w:ascii="Calibri" w:hAnsi="Calibri"/>
          <w:sz w:val="22"/>
          <w:color w:val="222222"/>
        </w:rPr>
        <w:t xml:space="preserve">The core declaration is that Christ died for our sins according to the scriptures. This announcement (</w:t>
      </w:r>
      <w:r>
        <w:rPr>
          <w:rFonts w:ascii="Calibri" w:hAnsi="Calibri"/>
          <w:i/>
          <w:sz w:val="22"/>
          <w:color w:val="222222"/>
        </w:rPr>
        <w:t xml:space="preserve">Euaggelizo</w:t>
      </w:r>
      <w:r>
        <w:rPr>
          <w:rFonts w:ascii="Calibri" w:hAnsi="Calibri"/>
          <w:sz w:val="22"/>
          <w:color w:val="222222"/>
        </w:rPr>
        <w:t xml:space="preserve">) refers to the royal proclamation of a king returning, a victory exploit, or the reclaiming of a territory. It is the news of deliverance from captivity. When Paul declares that Christ died for our sins, he places a profound responsibility on the reader to read the entire Old Testament record through a Christocentric lens. If it is Christ who died, was buried, and rose again, then every narrative from Genesis to Malachi must be reevaluated. Death, in this context, serves as the ultimate symbol of sin and the consequences of the law. Therefore, to understand this redemption, the Bible student must go back to the Old Testament, reread the narratives, and rework their understanding.</w:t>
      </w:r>
    </w:p>
    <w:p>
      <w:pPr>
        <w:spacing w:after="140" w:line="276" w:lineRule="auto"/>
      </w:pPr>
      <w:r>
        <w:rPr>
          <w:rFonts w:ascii="Calibri" w:hAnsi="Calibri"/>
          <w:sz w:val="22"/>
          <w:color w:val="222222"/>
        </w:rPr>
        <w:t xml:space="preserve">The phrase "according to the scriptures" (</w:t>
      </w:r>
      <w:r>
        <w:rPr>
          <w:rFonts w:ascii="Calibri" w:hAnsi="Calibri"/>
          <w:i/>
          <w:sz w:val="22"/>
          <w:color w:val="222222"/>
        </w:rPr>
        <w:t xml:space="preserve">Kata tas Graphas</w:t>
      </w:r>
      <w:r>
        <w:rPr>
          <w:rFonts w:ascii="Calibri" w:hAnsi="Calibri"/>
          <w:sz w:val="22"/>
          <w:color w:val="222222"/>
        </w:rPr>
        <w:t xml:space="preserve">) denotes a scholastic and academic methodology. It requires the interpreter to analyze the entire biblical canon systematically, applying normal rules of study rather than relying on isolated subjective revelations. The books of the Pentateuch are covenantally and historically interconnected. Genesis serves as the foundational narrative, establishing the creation of humanity in the divine image, the entrance of sin, and the initial redemptive promise of Genesis 3:15. Exodus follows as the historical realization of the deliverance promised to the patriarchs, rescuing Israel from Egyptian servitude. Because this massive deliverance necessitated an orderly framework for worship and fellowship, Leviticus was introduced to provide priestly codes and ritual instructions. When Israel broke down in faith and rebelled in the wilderness, the historical record of their unbelief was documented in the Book of Numbers. Finally, Deuteronomy, meaning the second law, was given as a modified legislation specifically because of the people's persistent unbelief and hardness of heart, a reality that Jesus later corroborated in Matthew 19:7-8. A Bible student cannot hope to understand any of these covenantal developments without tracing the entire trajectory back to the original Genesis promise.</w:t>
      </w:r>
    </w:p>
    <w:p>
      <w:pPr>
        <w:pStyle w:val="Heading3"/>
        <w:spacing w:before="180" w:after="80"/>
      </w:pPr>
      <w:r>
        <w:rPr>
          <w:rFonts w:ascii="Calibri" w:hAnsi="Calibri"/>
          <w:b/>
          <w:sz w:val="25"/>
          <w:color w:val="3B6998"/>
        </w:rPr>
        <w:t>The Mode of Christ's Execution: Tree vs. Cross</w:t>
      </w:r>
    </w:p>
    <w:p>
      <w:pPr>
        <w:spacing w:after="140" w:line="276" w:lineRule="auto"/>
      </w:pPr>
      <w:r>
        <w:rPr>
          <w:rFonts w:ascii="Calibri" w:hAnsi="Calibri"/>
          <w:sz w:val="22"/>
          <w:color w:val="222222"/>
        </w:rPr>
        <w:t xml:space="preserve">The Apostle Paul and the Apostle Peter utilize specific Old Testament terminology to describe the execution of Jesus:</w:t>
      </w:r>
    </w:p>
    <w:p>
      <w:pPr>
        <w:spacing w:after="140" w:line="276" w:lineRule="auto"/>
      </w:pPr>
      <w:r>
        <w:rPr>
          <w:rFonts w:ascii="Calibri" w:hAnsi="Calibri"/>
          <w:sz w:val="22"/>
          <w:color w:val="222222"/>
        </w:rPr>
        <w:t xml:space="preserve">Galatians 3:13</w:t>
      </w:r>
    </w:p>
    <w:p>
      <w:pPr>
        <w:ind w:left="500"/>
        <w:spacing w:before="60" w:after="100"/>
      </w:pPr>
      <w:r>
        <w:rPr>
          <w:rFonts w:ascii="Calibri" w:hAnsi="Calibri"/>
          <w:b/>
          <w:sz w:val="21"/>
          <w:color w:val="1F497D"/>
        </w:rPr>
        <w:t xml:space="preserve">[13] </w:t>
      </w:r>
      <w:r>
        <w:rPr>
          <w:rFonts w:ascii="Calibri" w:hAnsi="Calibri"/>
          <w:sz w:val="21"/>
          <w:color w:val="1B365D"/>
        </w:rPr>
        <w:t xml:space="preserve">Christ hath redeemed us from the curse of the law, being made a curse for us: for it is written, Cursed is every one that hangeth on a tree:</w:t>
      </w:r>
    </w:p>
    <w:p>
      <w:pPr>
        <w:spacing w:after="140" w:line="276" w:lineRule="auto"/>
      </w:pPr>
      <w:r>
        <w:rPr>
          <w:rFonts w:ascii="Calibri" w:hAnsi="Calibri"/>
          <w:sz w:val="22"/>
          <w:color w:val="222222"/>
        </w:rPr>
        <w:t xml:space="preserve">1 Peter 2:24</w:t>
      </w:r>
    </w:p>
    <w:p>
      <w:pPr>
        <w:ind w:left="500"/>
        <w:spacing w:before="60" w:after="100"/>
      </w:pPr>
      <w:r>
        <w:rPr>
          <w:rFonts w:ascii="Calibri" w:hAnsi="Calibri"/>
          <w:b/>
          <w:sz w:val="21"/>
          <w:color w:val="1F497D"/>
        </w:rPr>
        <w:t xml:space="preserve">[24] </w:t>
      </w:r>
      <w:r>
        <w:rPr>
          <w:rFonts w:ascii="Calibri" w:hAnsi="Calibri"/>
          <w:sz w:val="21"/>
          <w:color w:val="1B365D"/>
        </w:rPr>
        <w:t xml:space="preserve">Who his own self bare our sins in his own body on the tree, that we, being dead to sins, should live unto righteousness: by whose stripes ye were healed.</w:t>
      </w:r>
    </w:p>
    <w:p>
      <w:pPr>
        <w:spacing w:after="140" w:line="276" w:lineRule="auto"/>
      </w:pPr>
      <w:r>
        <w:rPr>
          <w:rFonts w:ascii="Calibri" w:hAnsi="Calibri"/>
          <w:sz w:val="22"/>
          <w:color w:val="222222"/>
        </w:rPr>
        <w:t xml:space="preserve">The Greek New Testament uses terms for both the cross (reflecting the Roman execution method) and the tree (reflecting the Jewish legal execution method of hanging on a tree from Deuteronomy 21:22-23). Historically, the Roman Empire executed political rebels and insurrectionists on crosses, and early church records indicate that they even crucified Peter upside down according to their laws. The Jews, on the other hand, executed blasphemers and hung their bodies on trees. Jesus was executed under human justice systems—specifically Roman insurrection laws and Jewish blasphemy laws—which were fundamentally unjust and cruel. The debate over whether it was physically a tree or a cross is a distraction, and creating denominations or theological divisions over this issue is a mistake. The crucial point is that these violent execution methods were expressions of human legal systems and political convenience, not the character of Yahweh. The cross and the tree represent human legal violence, and it is a theological error to attribute this violence to the active design of God.</w:t>
      </w:r>
    </w:p>
    <w:p>
      <w:pPr>
        <w:pStyle w:val="Heading3"/>
        <w:spacing w:before="180" w:after="80"/>
      </w:pPr>
      <w:r>
        <w:rPr>
          <w:rFonts w:ascii="Calibri" w:hAnsi="Calibri"/>
          <w:b/>
          <w:sz w:val="25"/>
          <w:color w:val="3B6998"/>
        </w:rPr>
        <w:t>Moses as a Reformer of Ancient Near Eastern Codes</w:t>
      </w:r>
    </w:p>
    <w:p>
      <w:pPr>
        <w:spacing w:after="140" w:line="276" w:lineRule="auto"/>
      </w:pPr>
      <w:r>
        <w:rPr>
          <w:rFonts w:ascii="Calibri" w:hAnsi="Calibri"/>
          <w:sz w:val="22"/>
          <w:color w:val="222222"/>
        </w:rPr>
        <w:t xml:space="preserve">The Mosaic Law was not an original, pristine code delivered in a vacuum. It was a modified and significantly improved set of statutes designed to regulate a primitive Near Eastern society. Scholar Brevard Childs observed that Mosaic legislation was a humane intervention compared to the brutal laws of the surrounding nations.</w:t>
      </w:r>
    </w:p>
    <w:p>
      <w:pPr>
        <w:spacing w:after="140" w:line="276" w:lineRule="auto"/>
      </w:pPr>
      <w:r>
        <w:rPr>
          <w:rFonts w:ascii="Calibri" w:hAnsi="Calibri"/>
          <w:sz w:val="22"/>
          <w:color w:val="222222"/>
        </w:rPr>
        <w:t xml:space="preserve">For example, in Hittite Law, sowing on another man's land was a capital offense. Moses mitigated this by replacing the death penalty with compensation and agricultural restoration. In other contemporary legal codes, such as the Code of Hammurabi (which existed two thousand years before Christ) and the Middle Assyrian Laws (written eleven hundred years before Christ), there was no regard for human life, individual intent (</w:t>
      </w:r>
      <w:r>
        <w:rPr>
          <w:rFonts w:ascii="Calibri" w:hAnsi="Calibri"/>
          <w:i/>
          <w:sz w:val="22"/>
          <w:color w:val="222222"/>
        </w:rPr>
        <w:t xml:space="preserve">mens rea</w:t>
      </w:r>
      <w:r>
        <w:rPr>
          <w:rFonts w:ascii="Calibri" w:hAnsi="Calibri"/>
          <w:sz w:val="22"/>
          <w:color w:val="222222"/>
        </w:rPr>
        <w:t xml:space="preserve">), or proportional justice. Under Babylonian law, if a man took another person's ox by mistake, he was summarily executed because the judge declared that the owner needed his ox at that moment, regardless of the offender's intent. If a builder's construction collapsed and killed a child, the builder's own child was executed (vicarious retribution). These codes mandated bodily mutilation—such as cutting off tongues, breasts, hands, or ears—for minor offenses, favoring the rich and powerful while oppressing the poor. Moses explicitly outlawed these brutal practices, introducing a judicial system based on individual responsibility and verifiability:</w:t>
      </w:r>
    </w:p>
    <w:p>
      <w:pPr>
        <w:spacing w:after="140" w:line="276" w:lineRule="auto"/>
      </w:pPr>
      <w:r>
        <w:rPr>
          <w:rFonts w:ascii="Calibri" w:hAnsi="Calibri"/>
          <w:sz w:val="22"/>
          <w:color w:val="222222"/>
        </w:rPr>
        <w:t xml:space="preserve">Deuteronomy 24:16</w:t>
      </w:r>
    </w:p>
    <w:p>
      <w:pPr>
        <w:ind w:left="500"/>
        <w:spacing w:before="60" w:after="100"/>
      </w:pPr>
      <w:r>
        <w:rPr>
          <w:rFonts w:ascii="Calibri" w:hAnsi="Calibri"/>
          <w:b/>
          <w:sz w:val="21"/>
          <w:color w:val="1F497D"/>
        </w:rPr>
        <w:t xml:space="preserve">[16] </w:t>
      </w:r>
      <w:r>
        <w:rPr>
          <w:rFonts w:ascii="Calibri" w:hAnsi="Calibri"/>
          <w:sz w:val="21"/>
          <w:color w:val="1B365D"/>
        </w:rPr>
        <w:t xml:space="preserve">The fathers shall not be put to death for the children, neither shall the children be put to death for the fathers: every man shall be put to death for his own sin.</w:t>
      </w:r>
    </w:p>
    <w:p>
      <w:pPr>
        <w:pStyle w:val="Heading3"/>
        <w:spacing w:before="180" w:after="80"/>
      </w:pPr>
      <w:r>
        <w:rPr>
          <w:rFonts w:ascii="Calibri" w:hAnsi="Calibri"/>
          <w:b/>
          <w:sz w:val="25"/>
          <w:color w:val="3B6998"/>
        </w:rPr>
        <w:t>The Law of Compensation (*Lex Talionis*)</w:t>
      </w:r>
    </w:p>
    <w:p>
      <w:pPr>
        <w:spacing w:after="140" w:line="276" w:lineRule="auto"/>
      </w:pPr>
      <w:r>
        <w:rPr>
          <w:rFonts w:ascii="Calibri" w:hAnsi="Calibri"/>
          <w:sz w:val="22"/>
          <w:color w:val="222222"/>
        </w:rPr>
        <w:t xml:space="preserve">The principle of </w:t>
      </w:r>
      <w:r>
        <w:rPr>
          <w:rFonts w:ascii="Calibri" w:hAnsi="Calibri"/>
          <w:i/>
          <w:sz w:val="22"/>
          <w:color w:val="222222"/>
        </w:rPr>
        <w:t xml:space="preserve">Lex Talionis</w:t>
      </w:r>
      <w:r>
        <w:rPr>
          <w:rFonts w:ascii="Calibri" w:hAnsi="Calibri"/>
          <w:sz w:val="22"/>
          <w:color w:val="222222"/>
        </w:rPr>
        <w:t xml:space="preserve">, commonly translated as "an eye for an eye," is often misunderstood as a command for physical mutilation. In the Mosaic context, it was a law of equitable compensation designed to limit retribution:</w:t>
      </w:r>
    </w:p>
    <w:p>
      <w:pPr>
        <w:spacing w:after="140" w:line="276" w:lineRule="auto"/>
      </w:pPr>
      <w:r>
        <w:rPr>
          <w:rFonts w:ascii="Calibri" w:hAnsi="Calibri"/>
          <w:sz w:val="22"/>
          <w:color w:val="222222"/>
        </w:rPr>
        <w:t xml:space="preserve">Exodus 21:23-25</w:t>
      </w:r>
    </w:p>
    <w:p>
      <w:pPr>
        <w:ind w:left="500"/>
        <w:spacing w:before="60" w:after="100"/>
      </w:pPr>
      <w:r>
        <w:rPr>
          <w:rFonts w:ascii="Calibri" w:hAnsi="Calibri"/>
          <w:b/>
          <w:sz w:val="21"/>
          <w:color w:val="1F497D"/>
        </w:rPr>
        <w:t xml:space="preserve">[23] </w:t>
      </w:r>
      <w:r>
        <w:rPr>
          <w:rFonts w:ascii="Calibri" w:hAnsi="Calibri"/>
          <w:sz w:val="21"/>
          <w:color w:val="1B365D"/>
        </w:rPr>
        <w:t xml:space="preserve">And if any mischief follow, then thou shalt give life for life,</w:t>
      </w:r>
    </w:p>
    <w:p>
      <w:pPr>
        <w:ind w:left="500"/>
        <w:spacing w:before="60" w:after="100"/>
      </w:pPr>
      <w:r>
        <w:rPr>
          <w:rFonts w:ascii="Calibri" w:hAnsi="Calibri"/>
          <w:b/>
          <w:sz w:val="21"/>
          <w:color w:val="1F497D"/>
        </w:rPr>
        <w:t xml:space="preserve">[24] </w:t>
      </w:r>
      <w:r>
        <w:rPr>
          <w:rFonts w:ascii="Calibri" w:hAnsi="Calibri"/>
          <w:sz w:val="21"/>
          <w:color w:val="1B365D"/>
        </w:rPr>
        <w:t xml:space="preserve">Eye for eye, tooth for tooth, hand for hand, foot for foot,</w:t>
      </w:r>
    </w:p>
    <w:p>
      <w:pPr>
        <w:ind w:left="500"/>
        <w:spacing w:before="60" w:after="100"/>
      </w:pPr>
      <w:r>
        <w:rPr>
          <w:rFonts w:ascii="Calibri" w:hAnsi="Calibri"/>
          <w:b/>
          <w:sz w:val="21"/>
          <w:color w:val="1F497D"/>
        </w:rPr>
        <w:t xml:space="preserve">[25] </w:t>
      </w:r>
      <w:r>
        <w:rPr>
          <w:rFonts w:ascii="Calibri" w:hAnsi="Calibri"/>
          <w:sz w:val="21"/>
          <w:color w:val="1B365D"/>
        </w:rPr>
        <w:t xml:space="preserve">Burning for burning, wound for wound, stripe for stripe.</w:t>
      </w:r>
    </w:p>
    <w:p>
      <w:pPr>
        <w:spacing w:after="140" w:line="276" w:lineRule="auto"/>
      </w:pPr>
      <w:r>
        <w:rPr>
          <w:rFonts w:ascii="Calibri" w:hAnsi="Calibri"/>
          <w:sz w:val="22"/>
          <w:color w:val="222222"/>
        </w:rPr>
        <w:t xml:space="preserve">Leviticus 24:17-22</w:t>
      </w:r>
    </w:p>
    <w:p>
      <w:pPr>
        <w:ind w:left="500"/>
        <w:spacing w:before="60" w:after="100"/>
      </w:pPr>
      <w:r>
        <w:rPr>
          <w:rFonts w:ascii="Calibri" w:hAnsi="Calibri"/>
          <w:b/>
          <w:sz w:val="21"/>
          <w:color w:val="1F497D"/>
        </w:rPr>
        <w:t xml:space="preserve">[17] </w:t>
      </w:r>
      <w:r>
        <w:rPr>
          <w:rFonts w:ascii="Calibri" w:hAnsi="Calibri"/>
          <w:sz w:val="21"/>
          <w:color w:val="1B365D"/>
        </w:rPr>
        <w:t xml:space="preserve">And he that killeth any man shall surely be put to death.</w:t>
      </w:r>
    </w:p>
    <w:p>
      <w:pPr>
        <w:ind w:left="500"/>
        <w:spacing w:before="60" w:after="100"/>
      </w:pPr>
      <w:r>
        <w:rPr>
          <w:rFonts w:ascii="Calibri" w:hAnsi="Calibri"/>
          <w:b/>
          <w:sz w:val="21"/>
          <w:color w:val="1F497D"/>
        </w:rPr>
        <w:t xml:space="preserve">[18] </w:t>
      </w:r>
      <w:r>
        <w:rPr>
          <w:rFonts w:ascii="Calibri" w:hAnsi="Calibri"/>
          <w:sz w:val="21"/>
          <w:color w:val="1B365D"/>
        </w:rPr>
        <w:t xml:space="preserve">And he that killeth a beast shall make it good; beast for beast.</w:t>
      </w:r>
    </w:p>
    <w:p>
      <w:pPr>
        <w:ind w:left="500"/>
        <w:spacing w:before="60" w:after="100"/>
      </w:pPr>
      <w:r>
        <w:rPr>
          <w:rFonts w:ascii="Calibri" w:hAnsi="Calibri"/>
          <w:b/>
          <w:sz w:val="21"/>
          <w:color w:val="1F497D"/>
        </w:rPr>
        <w:t xml:space="preserve">[19] </w:t>
      </w:r>
      <w:r>
        <w:rPr>
          <w:rFonts w:ascii="Calibri" w:hAnsi="Calibri"/>
          <w:sz w:val="21"/>
          <w:color w:val="1B365D"/>
        </w:rPr>
        <w:t xml:space="preserve">And if a man cause a blemish in his neighbour; as he hath done, so shall it be done to him;</w:t>
      </w:r>
    </w:p>
    <w:p>
      <w:pPr>
        <w:ind w:left="500"/>
        <w:spacing w:before="60" w:after="100"/>
      </w:pPr>
      <w:r>
        <w:rPr>
          <w:rFonts w:ascii="Calibri" w:hAnsi="Calibri"/>
          <w:b/>
          <w:sz w:val="21"/>
          <w:color w:val="1F497D"/>
        </w:rPr>
        <w:t xml:space="preserve">[20] </w:t>
      </w:r>
      <w:r>
        <w:rPr>
          <w:rFonts w:ascii="Calibri" w:hAnsi="Calibri"/>
          <w:sz w:val="21"/>
          <w:color w:val="1B365D"/>
        </w:rPr>
        <w:t xml:space="preserve">Breach for breach, eye for eye, tooth for tooth: as he hath caused a blemish in a man, so shall it be done unto him.</w:t>
      </w:r>
    </w:p>
    <w:p>
      <w:pPr>
        <w:ind w:left="500"/>
        <w:spacing w:before="60" w:after="100"/>
      </w:pPr>
      <w:r>
        <w:rPr>
          <w:rFonts w:ascii="Calibri" w:hAnsi="Calibri"/>
          <w:b/>
          <w:sz w:val="21"/>
          <w:color w:val="1F497D"/>
        </w:rPr>
        <w:t xml:space="preserve">[21] </w:t>
      </w:r>
      <w:r>
        <w:rPr>
          <w:rFonts w:ascii="Calibri" w:hAnsi="Calibri"/>
          <w:sz w:val="21"/>
          <w:color w:val="1B365D"/>
        </w:rPr>
        <w:t xml:space="preserve">And he that killeth a beast, he shall restore it: and he that killeth a man, he shall be put to death.</w:t>
      </w:r>
    </w:p>
    <w:p>
      <w:pPr>
        <w:ind w:left="500"/>
        <w:spacing w:before="60" w:after="100"/>
      </w:pPr>
      <w:r>
        <w:rPr>
          <w:rFonts w:ascii="Calibri" w:hAnsi="Calibri"/>
          <w:b/>
          <w:sz w:val="21"/>
          <w:color w:val="1F497D"/>
        </w:rPr>
        <w:t xml:space="preserve">[22] </w:t>
      </w:r>
      <w:r>
        <w:rPr>
          <w:rFonts w:ascii="Calibri" w:hAnsi="Calibri"/>
          <w:sz w:val="21"/>
          <w:color w:val="1B365D"/>
        </w:rPr>
        <w:t xml:space="preserve">Ye shall have one manner of law, as well for the stranger, as for one of your own country: for I am the LORD your God.</w:t>
      </w:r>
    </w:p>
    <w:p>
      <w:pPr>
        <w:spacing w:after="140" w:line="276" w:lineRule="auto"/>
      </w:pPr>
      <w:r>
        <w:rPr>
          <w:rFonts w:ascii="Calibri" w:hAnsi="Calibri"/>
          <w:sz w:val="22"/>
          <w:color w:val="222222"/>
        </w:rPr>
        <w:t xml:space="preserve">This principle was established to prevent excessive private revenge, ensuring that a person could not demand a life in retaliation for a tooth. It is a civil law of compensation that remains active in modern legal systems through capital punishment for murder.</w:t>
      </w:r>
    </w:p>
    <w:p>
      <w:pPr>
        <w:spacing w:after="140" w:line="276" w:lineRule="auto"/>
      </w:pPr>
      <w:r>
        <w:rPr>
          <w:rFonts w:ascii="Calibri" w:hAnsi="Calibri"/>
          <w:sz w:val="22"/>
          <w:color w:val="222222"/>
        </w:rPr>
        <w:t xml:space="preserve">To understand how societies naturally develop unofficial codes to resolve conflict, we can observe the boarding houses of Government College. While school rules strictly banned fighting, the seniors established an unofficial "court" where they would force juniors to settle their disputes by wrestling or boxing under senior supervision. To avoid senior intervention, the juniors cleared a patch of grass they named "Devil's Land" where they settled their conflicts by their own code, which often involved administering up to six slaps to ensure a reaction and a resolution. Every human society, from primitive tribes to modern schools, develops its own legislation to manage conflict.</w:t>
      </w:r>
    </w:p>
    <w:p>
      <w:pPr>
        <w:spacing w:after="140" w:line="276" w:lineRule="auto"/>
      </w:pPr>
      <w:r>
        <w:rPr>
          <w:rFonts w:ascii="Calibri" w:hAnsi="Calibri"/>
          <w:sz w:val="22"/>
          <w:color w:val="222222"/>
        </w:rPr>
        <w:t xml:space="preserve">Jesus, in the Sermon on the Mount, reinterprets </w:t>
      </w:r>
      <w:r>
        <w:rPr>
          <w:rFonts w:ascii="Calibri" w:hAnsi="Calibri"/>
          <w:i/>
          <w:sz w:val="22"/>
          <w:color w:val="222222"/>
        </w:rPr>
        <w:t xml:space="preserve">Lex Talionis</w:t>
      </w:r>
      <w:r>
        <w:rPr>
          <w:rFonts w:ascii="Calibri" w:hAnsi="Calibri"/>
          <w:sz w:val="22"/>
          <w:color w:val="222222"/>
        </w:rPr>
        <w:t xml:space="preserve"> to point beyond equitable retribution to the higher law of grace:</w:t>
      </w:r>
    </w:p>
    <w:p>
      <w:pPr>
        <w:spacing w:after="140" w:line="276" w:lineRule="auto"/>
      </w:pPr>
      <w:r>
        <w:rPr>
          <w:rFonts w:ascii="Calibri" w:hAnsi="Calibri"/>
          <w:sz w:val="22"/>
          <w:color w:val="222222"/>
        </w:rPr>
        <w:t xml:space="preserve">Matthew 5:38-39</w:t>
      </w:r>
    </w:p>
    <w:p>
      <w:pPr>
        <w:ind w:left="500"/>
        <w:spacing w:before="60" w:after="100"/>
      </w:pPr>
      <w:r>
        <w:rPr>
          <w:rFonts w:ascii="Calibri" w:hAnsi="Calibri"/>
          <w:b/>
          <w:sz w:val="21"/>
          <w:color w:val="1F497D"/>
        </w:rPr>
        <w:t xml:space="preserve">[38] </w:t>
      </w:r>
      <w:r>
        <w:rPr>
          <w:rFonts w:ascii="Calibri" w:hAnsi="Calibri"/>
          <w:sz w:val="21"/>
          <w:color w:val="1B365D"/>
        </w:rPr>
        <w:t xml:space="preserve">Ye have heard that it hath been said, An eye for an eye, and a tooth for a tooth:</w:t>
      </w:r>
    </w:p>
    <w:p>
      <w:pPr>
        <w:ind w:left="500"/>
        <w:spacing w:before="60" w:after="100"/>
      </w:pPr>
      <w:r>
        <w:rPr>
          <w:rFonts w:ascii="Calibri" w:hAnsi="Calibri"/>
          <w:b/>
          <w:sz w:val="21"/>
          <w:color w:val="1F497D"/>
        </w:rPr>
        <w:t xml:space="preserve">[39] </w:t>
      </w:r>
      <w:r>
        <w:rPr>
          <w:rFonts w:ascii="Calibri" w:hAnsi="Calibri"/>
          <w:sz w:val="21"/>
          <w:color w:val="1B365D"/>
        </w:rPr>
        <w:t xml:space="preserve">But I say unto you, That ye resist not evil: but whosoever shall smite thee on thy right cheek, turn to him the other also.</w:t>
      </w:r>
    </w:p>
    <w:p>
      <w:pPr>
        <w:spacing w:after="140" w:line="276" w:lineRule="auto"/>
      </w:pPr>
      <w:r>
        <w:rPr>
          <w:rFonts w:ascii="Calibri" w:hAnsi="Calibri"/>
          <w:sz w:val="22"/>
          <w:color w:val="222222"/>
        </w:rPr>
        <w:t xml:space="preserve">Jesus uses the language of radical self-mutilation—such as plucking out an eye:</w:t>
      </w:r>
    </w:p>
    <w:p>
      <w:pPr>
        <w:spacing w:after="140" w:line="276" w:lineRule="auto"/>
      </w:pPr>
      <w:r>
        <w:rPr>
          <w:rFonts w:ascii="Calibri" w:hAnsi="Calibri"/>
          <w:sz w:val="22"/>
          <w:color w:val="222222"/>
        </w:rPr>
        <w:t xml:space="preserve">Matthew 5:29</w:t>
      </w:r>
    </w:p>
    <w:p>
      <w:pPr>
        <w:ind w:left="500"/>
        <w:spacing w:before="60" w:after="100"/>
      </w:pPr>
      <w:r>
        <w:rPr>
          <w:rFonts w:ascii="Calibri" w:hAnsi="Calibri"/>
          <w:b/>
          <w:sz w:val="21"/>
          <w:color w:val="1F497D"/>
        </w:rPr>
        <w:t xml:space="preserve">[29] </w:t>
      </w:r>
      <w:r>
        <w:rPr>
          <w:rFonts w:ascii="Calibri" w:hAnsi="Calibri"/>
          <w:sz w:val="21"/>
          <w:color w:val="1B365D"/>
        </w:rPr>
        <w:t xml:space="preserve">And if thy right eye offend thee, pluck it out, and cast it from thee: for it is profitable for thee that one of thy members should perish, and not that thy whole body should be cast into hell.</w:t>
      </w:r>
    </w:p>
    <w:p>
      <w:pPr>
        <w:spacing w:after="140" w:line="276" w:lineRule="auto"/>
      </w:pPr>
      <w:r>
        <w:rPr>
          <w:rFonts w:ascii="Calibri" w:hAnsi="Calibri"/>
          <w:sz w:val="22"/>
          <w:color w:val="222222"/>
        </w:rPr>
        <w:t xml:space="preserve">This is a figure of speech to illustrate the spiritual necessity of removing oneself from offense, not as a literal command for physical self-mutilation.</w:t>
      </w:r>
    </w:p>
    <w:p>
      <w:pPr>
        <w:pStyle w:val="Heading3"/>
        <w:spacing w:before="180" w:after="80"/>
      </w:pPr>
      <w:r>
        <w:rPr>
          <w:rFonts w:ascii="Calibri" w:hAnsi="Calibri"/>
          <w:b/>
          <w:sz w:val="25"/>
          <w:color w:val="3B6998"/>
        </w:rPr>
        <w:t>The Mitigation of Manslaughter and Liability</w:t>
      </w:r>
    </w:p>
    <w:p>
      <w:pPr>
        <w:spacing w:after="140" w:line="276" w:lineRule="auto"/>
      </w:pPr>
      <w:r>
        <w:rPr>
          <w:rFonts w:ascii="Calibri" w:hAnsi="Calibri"/>
          <w:sz w:val="22"/>
          <w:color w:val="222222"/>
        </w:rPr>
        <w:t xml:space="preserve">Moses established a judicial system that evaluated the </w:t>
      </w:r>
      <w:r>
        <w:rPr>
          <w:rFonts w:ascii="Calibri" w:hAnsi="Calibri"/>
          <w:i/>
          <w:sz w:val="22"/>
          <w:color w:val="222222"/>
        </w:rPr>
        <w:t xml:space="preserve">mens rea</w:t>
      </w:r>
      <w:r>
        <w:rPr>
          <w:rFonts w:ascii="Calibri" w:hAnsi="Calibri"/>
          <w:sz w:val="22"/>
          <w:color w:val="222222"/>
        </w:rPr>
        <w:t xml:space="preserve"> (the intent of the individual) rather than just the physical act. He differentiated between intentional murder and accidental killing (manslaughter):</w:t>
      </w:r>
    </w:p>
    <w:p>
      <w:pPr>
        <w:spacing w:after="140" w:line="276" w:lineRule="auto"/>
      </w:pPr>
      <w:r>
        <w:rPr>
          <w:rFonts w:ascii="Calibri" w:hAnsi="Calibri"/>
          <w:sz w:val="22"/>
          <w:color w:val="222222"/>
        </w:rPr>
        <w:t xml:space="preserve">Exodus 21:12-14</w:t>
      </w:r>
    </w:p>
    <w:p>
      <w:pPr>
        <w:ind w:left="500"/>
        <w:spacing w:before="60" w:after="100"/>
      </w:pPr>
      <w:r>
        <w:rPr>
          <w:rFonts w:ascii="Calibri" w:hAnsi="Calibri"/>
          <w:b/>
          <w:sz w:val="21"/>
          <w:color w:val="1F497D"/>
        </w:rPr>
        <w:t xml:space="preserve">[12] </w:t>
      </w:r>
      <w:r>
        <w:rPr>
          <w:rFonts w:ascii="Calibri" w:hAnsi="Calibri"/>
          <w:sz w:val="21"/>
          <w:color w:val="1B365D"/>
        </w:rPr>
        <w:t xml:space="preserve">He that smiteth a man, so that he die, shall be surely put to death.</w:t>
      </w:r>
    </w:p>
    <w:p>
      <w:pPr>
        <w:ind w:left="500"/>
        <w:spacing w:before="60" w:after="100"/>
      </w:pPr>
      <w:r>
        <w:rPr>
          <w:rFonts w:ascii="Calibri" w:hAnsi="Calibri"/>
          <w:b/>
          <w:sz w:val="21"/>
          <w:color w:val="1F497D"/>
        </w:rPr>
        <w:t xml:space="preserve">[13] </w:t>
      </w:r>
      <w:r>
        <w:rPr>
          <w:rFonts w:ascii="Calibri" w:hAnsi="Calibri"/>
          <w:sz w:val="21"/>
          <w:color w:val="1B365D"/>
        </w:rPr>
        <w:t xml:space="preserve">And if a man lie not in wait, but God deliver him into his hand; then I will appoint thee a place whither he shall flee.</w:t>
      </w:r>
    </w:p>
    <w:p>
      <w:pPr>
        <w:ind w:left="500"/>
        <w:spacing w:before="60" w:after="100"/>
      </w:pPr>
      <w:r>
        <w:rPr>
          <w:rFonts w:ascii="Calibri" w:hAnsi="Calibri"/>
          <w:b/>
          <w:sz w:val="21"/>
          <w:color w:val="1F497D"/>
        </w:rPr>
        <w:t xml:space="preserve">[14] </w:t>
      </w:r>
      <w:r>
        <w:rPr>
          <w:rFonts w:ascii="Calibri" w:hAnsi="Calibri"/>
          <w:sz w:val="21"/>
          <w:color w:val="1B365D"/>
        </w:rPr>
        <w:t xml:space="preserve">But if a man come presumptuously upon his neighbour, to slay him with guile; thou shalt take him from mine altar, that he die.</w:t>
      </w:r>
    </w:p>
    <w:p>
      <w:pPr>
        <w:spacing w:after="140" w:line="276" w:lineRule="auto"/>
      </w:pPr>
      <w:r>
        <w:rPr>
          <w:rFonts w:ascii="Calibri" w:hAnsi="Calibri"/>
          <w:sz w:val="22"/>
          <w:color w:val="222222"/>
        </w:rPr>
        <w:t xml:space="preserve">For accidental killings, God commanded the establishment of Cities of Refuge where the slayer could flee from the avenger of blood, preventing immediate jungle justice. A modern legal example demonstrates this: if two men are fighting and one turns his axe around to strike the other with the blunt back rather than the sharp blade, it demonstrates that his intent was not to kill. If the victim dies, the act is manslaughter, not premeditated murder.</w:t>
      </w:r>
    </w:p>
    <w:p>
      <w:pPr>
        <w:spacing w:after="140" w:line="276" w:lineRule="auto"/>
      </w:pPr>
      <w:r>
        <w:rPr>
          <w:rFonts w:ascii="Calibri" w:hAnsi="Calibri"/>
          <w:sz w:val="22"/>
          <w:color w:val="222222"/>
        </w:rPr>
        <w:t xml:space="preserve">Moses also regulated animal liability. If an ox gored a person to death, the owner was free of liability unless the animal had a known history of violence:</w:t>
      </w:r>
    </w:p>
    <w:p>
      <w:pPr>
        <w:spacing w:after="140" w:line="276" w:lineRule="auto"/>
      </w:pPr>
      <w:r>
        <w:rPr>
          <w:rFonts w:ascii="Calibri" w:hAnsi="Calibri"/>
          <w:sz w:val="22"/>
          <w:color w:val="222222"/>
        </w:rPr>
        <w:t xml:space="preserve">Exodus 21:28-30</w:t>
      </w:r>
    </w:p>
    <w:p>
      <w:pPr>
        <w:ind w:left="500"/>
        <w:spacing w:before="60" w:after="100"/>
      </w:pPr>
      <w:r>
        <w:rPr>
          <w:rFonts w:ascii="Calibri" w:hAnsi="Calibri"/>
          <w:b/>
          <w:sz w:val="21"/>
          <w:color w:val="1F497D"/>
        </w:rPr>
        <w:t xml:space="preserve">[28] </w:t>
      </w:r>
      <w:r>
        <w:rPr>
          <w:rFonts w:ascii="Calibri" w:hAnsi="Calibri"/>
          <w:sz w:val="21"/>
          <w:color w:val="1B365D"/>
        </w:rPr>
        <w:t xml:space="preserve">If an ox gore a man or a woman, that they die: then the ox shall be surely stoned, and his flesh shall not be eaten; but the owner of the ox shall be quit.</w:t>
      </w:r>
    </w:p>
    <w:p>
      <w:pPr>
        <w:ind w:left="500"/>
        <w:spacing w:before="60" w:after="100"/>
      </w:pPr>
      <w:r>
        <w:rPr>
          <w:rFonts w:ascii="Calibri" w:hAnsi="Calibri"/>
          <w:b/>
          <w:sz w:val="21"/>
          <w:color w:val="1F497D"/>
        </w:rPr>
        <w:t xml:space="preserve">[29] </w:t>
      </w:r>
      <w:r>
        <w:rPr>
          <w:rFonts w:ascii="Calibri" w:hAnsi="Calibri"/>
          <w:sz w:val="21"/>
          <w:color w:val="1B365D"/>
        </w:rPr>
        <w:t xml:space="preserve">But if the ox were wont to push with his horn in time past, and it hath been testified to his owner, and he hath not kept him in, but that he hath killed a man or a woman; the ox shall be stoned, and his owner also shall be put to death.</w:t>
      </w:r>
    </w:p>
    <w:p>
      <w:pPr>
        <w:ind w:left="500"/>
        <w:spacing w:before="60" w:after="100"/>
      </w:pPr>
      <w:r>
        <w:rPr>
          <w:rFonts w:ascii="Calibri" w:hAnsi="Calibri"/>
          <w:b/>
          <w:sz w:val="21"/>
          <w:color w:val="1F497D"/>
        </w:rPr>
        <w:t xml:space="preserve">[30] </w:t>
      </w:r>
      <w:r>
        <w:rPr>
          <w:rFonts w:ascii="Calibri" w:hAnsi="Calibri"/>
          <w:sz w:val="21"/>
          <w:color w:val="1B365D"/>
        </w:rPr>
        <w:t xml:space="preserve">If there be laid on him a sum of money, then he shall give for the ransom of his life whatsoever is laid upon him.</w:t>
      </w:r>
    </w:p>
    <w:p>
      <w:pPr>
        <w:spacing w:after="140" w:line="276" w:lineRule="auto"/>
      </w:pPr>
      <w:r>
        <w:rPr>
          <w:rFonts w:ascii="Calibri" w:hAnsi="Calibri"/>
          <w:sz w:val="22"/>
          <w:color w:val="222222"/>
        </w:rPr>
        <w:t xml:space="preserve">If the owner was negligent, he could pay a financial ransom to redeem his life. Moses' laws were the mildest and most humane legislation in the ancient Near East, preventing personal family vendettas by requiring witnesses:</w:t>
      </w:r>
    </w:p>
    <w:p>
      <w:pPr>
        <w:spacing w:after="140" w:line="276" w:lineRule="auto"/>
      </w:pPr>
      <w:r>
        <w:rPr>
          <w:rFonts w:ascii="Calibri" w:hAnsi="Calibri"/>
          <w:sz w:val="22"/>
          <w:color w:val="222222"/>
        </w:rPr>
        <w:t xml:space="preserve">Numbers 35:30-31</w:t>
      </w:r>
    </w:p>
    <w:p>
      <w:pPr>
        <w:ind w:left="500"/>
        <w:spacing w:before="60" w:after="100"/>
      </w:pPr>
      <w:r>
        <w:rPr>
          <w:rFonts w:ascii="Calibri" w:hAnsi="Calibri"/>
          <w:b/>
          <w:sz w:val="21"/>
          <w:color w:val="1F497D"/>
        </w:rPr>
        <w:t xml:space="preserve">[30] </w:t>
      </w:r>
      <w:r>
        <w:rPr>
          <w:rFonts w:ascii="Calibri" w:hAnsi="Calibri"/>
          <w:sz w:val="21"/>
          <w:color w:val="1B365D"/>
        </w:rPr>
        <w:t xml:space="preserve">Whoso killeth any person, the murderer shall be put to death by the mouth of witnesses: but one witness shall not testify against any person to cause him to die.</w:t>
      </w:r>
    </w:p>
    <w:p>
      <w:pPr>
        <w:ind w:left="500"/>
        <w:spacing w:before="60" w:after="100"/>
      </w:pPr>
      <w:r>
        <w:rPr>
          <w:rFonts w:ascii="Calibri" w:hAnsi="Calibri"/>
          <w:b/>
          <w:sz w:val="21"/>
          <w:color w:val="1F497D"/>
        </w:rPr>
        <w:t xml:space="preserve">[31] </w:t>
      </w:r>
      <w:r>
        <w:rPr>
          <w:rFonts w:ascii="Calibri" w:hAnsi="Calibri"/>
          <w:sz w:val="21"/>
          <w:color w:val="1B365D"/>
        </w:rPr>
        <w:t xml:space="preserve">Moreover ye shall take no satisfaction for the life of a murderer, which is guilty of death: but he shall be surely put to death.</w:t>
      </w:r>
    </w:p>
    <w:p>
      <w:pPr>
        <w:pStyle w:val="Heading3"/>
        <w:spacing w:before="180" w:after="80"/>
      </w:pPr>
      <w:r>
        <w:rPr>
          <w:rFonts w:ascii="Calibri" w:hAnsi="Calibri"/>
          <w:b/>
          <w:sz w:val="25"/>
          <w:color w:val="3B6998"/>
        </w:rPr>
        <w:t>Child Sacrifice and Divine Character</w:t>
      </w:r>
    </w:p>
    <w:p>
      <w:pPr>
        <w:spacing w:after="140" w:line="276" w:lineRule="auto"/>
      </w:pPr>
      <w:r>
        <w:rPr>
          <w:rFonts w:ascii="Calibri" w:hAnsi="Calibri"/>
          <w:sz w:val="22"/>
          <w:color w:val="222222"/>
        </w:rPr>
        <w:t xml:space="preserve">Preachers today often manipulate scriptures when asking for money, demanding congregants drop their Isaac into the offering bag. Some have even used Old Testament narratives of child sacrifice to suggest that God's wrath requires human sacrifice. Years ago, a Pentecostal preacher at a convention taught that a king sacrificed his child and God's wrath was satisfied:</w:t>
      </w:r>
    </w:p>
    <w:p>
      <w:pPr>
        <w:spacing w:after="140" w:line="276" w:lineRule="auto"/>
      </w:pPr>
      <w:r>
        <w:rPr>
          <w:rFonts w:ascii="Calibri" w:hAnsi="Calibri"/>
          <w:sz w:val="22"/>
          <w:color w:val="222222"/>
        </w:rPr>
        <w:t xml:space="preserve">2 Kings 3:27</w:t>
      </w:r>
    </w:p>
    <w:p>
      <w:pPr>
        <w:ind w:left="500"/>
        <w:spacing w:before="60" w:after="100"/>
      </w:pPr>
      <w:r>
        <w:rPr>
          <w:rFonts w:ascii="Calibri" w:hAnsi="Calibri"/>
          <w:b/>
          <w:sz w:val="21"/>
          <w:color w:val="1F497D"/>
        </w:rPr>
        <w:t xml:space="preserve">[27] </w:t>
      </w:r>
      <w:r>
        <w:rPr>
          <w:rFonts w:ascii="Calibri" w:hAnsi="Calibri"/>
          <w:sz w:val="21"/>
          <w:color w:val="1B365D"/>
        </w:rPr>
        <w:t xml:space="preserve">Then he took his eldest son that should have reigned in his stead, and offered him for a burnt offering upon the wall. And there was great indignation against Israel: and they departed from him, and returned to their own land.</w:t>
      </w:r>
    </w:p>
    <w:p>
      <w:pPr>
        <w:spacing w:after="140" w:line="276" w:lineRule="auto"/>
      </w:pPr>
      <w:r>
        <w:rPr>
          <w:rFonts w:ascii="Calibri" w:hAnsi="Calibri"/>
          <w:sz w:val="22"/>
          <w:color w:val="222222"/>
        </w:rPr>
        <w:t xml:space="preserve">The word "indignation" in this verse is the Hebrew </w:t>
      </w:r>
      <w:r>
        <w:rPr>
          <w:rFonts w:ascii="Calibri" w:hAnsi="Calibri"/>
          <w:b/>
          <w:sz w:val="22"/>
          <w:color w:val="222222"/>
        </w:rPr>
        <w:t xml:space="preserve">quetzef</w:t>
      </w:r>
      <w:r>
        <w:rPr>
          <w:rFonts w:ascii="Calibri" w:hAnsi="Calibri"/>
          <w:sz w:val="22"/>
          <w:color w:val="222222"/>
        </w:rPr>
        <w:t xml:space="preserve">, which refers to human fury or man-made wrath—the indignation of the Moabites and the surrounding armies—not the wrath of Yahweh. The pagan king of Moab sacrificed his son to his god, Chemosh. God did not accept or endorse this sacrifice.</w:t>
      </w:r>
    </w:p>
    <w:p>
      <w:pPr>
        <w:spacing w:after="140" w:line="276" w:lineRule="auto"/>
      </w:pPr>
      <w:r>
        <w:rPr>
          <w:rFonts w:ascii="Calibri" w:hAnsi="Calibri"/>
          <w:sz w:val="22"/>
          <w:color w:val="222222"/>
        </w:rPr>
        <w:t xml:space="preserve">The Scriptures are explicit that God detests child sacrifice:</w:t>
      </w:r>
    </w:p>
    <w:p>
      <w:pPr>
        <w:spacing w:after="140" w:line="276" w:lineRule="auto"/>
      </w:pPr>
      <w:r>
        <w:rPr>
          <w:rFonts w:ascii="Calibri" w:hAnsi="Calibri"/>
          <w:sz w:val="22"/>
          <w:color w:val="222222"/>
        </w:rPr>
        <w:t xml:space="preserve">Leviticus 18:21</w:t>
      </w:r>
    </w:p>
    <w:p>
      <w:pPr>
        <w:ind w:left="500"/>
        <w:spacing w:before="60" w:after="100"/>
      </w:pPr>
      <w:r>
        <w:rPr>
          <w:rFonts w:ascii="Calibri" w:hAnsi="Calibri"/>
          <w:b/>
          <w:sz w:val="21"/>
          <w:color w:val="1F497D"/>
        </w:rPr>
        <w:t xml:space="preserve">[21] </w:t>
      </w:r>
      <w:r>
        <w:rPr>
          <w:rFonts w:ascii="Calibri" w:hAnsi="Calibri"/>
          <w:sz w:val="21"/>
          <w:color w:val="1B365D"/>
        </w:rPr>
        <w:t xml:space="preserve">And thou shalt not let any of thy seed pass through the fire to Molech, neither shalt thou profane the name of thy God: I am the LORD.</w:t>
      </w:r>
    </w:p>
    <w:p>
      <w:pPr>
        <w:spacing w:after="140" w:line="276" w:lineRule="auto"/>
      </w:pPr>
      <w:r>
        <w:rPr>
          <w:rFonts w:ascii="Calibri" w:hAnsi="Calibri"/>
          <w:sz w:val="22"/>
          <w:color w:val="222222"/>
        </w:rPr>
        <w:t xml:space="preserve">Leviticus 20:2-5</w:t>
      </w:r>
    </w:p>
    <w:p>
      <w:pPr>
        <w:ind w:left="500"/>
        <w:spacing w:before="60" w:after="100"/>
      </w:pPr>
      <w:r>
        <w:rPr>
          <w:rFonts w:ascii="Calibri" w:hAnsi="Calibri"/>
          <w:b/>
          <w:sz w:val="21"/>
          <w:color w:val="1F497D"/>
        </w:rPr>
        <w:t xml:space="preserve">[2] </w:t>
      </w:r>
      <w:r>
        <w:rPr>
          <w:rFonts w:ascii="Calibri" w:hAnsi="Calibri"/>
          <w:sz w:val="21"/>
          <w:color w:val="1B365D"/>
        </w:rPr>
        <w:t xml:space="preserve">Again, thou shalt say to the children of Israel, Whosoever he be of the children of Israel, or of the strangers that sojourn in Israel, that giveth any of his seed unto Molech; he shall surely be put to death: the people of the land shall stone him with stones.</w:t>
      </w:r>
    </w:p>
    <w:p>
      <w:pPr>
        <w:ind w:left="500"/>
        <w:spacing w:before="60" w:after="100"/>
      </w:pPr>
      <w:r>
        <w:rPr>
          <w:rFonts w:ascii="Calibri" w:hAnsi="Calibri"/>
          <w:b/>
          <w:sz w:val="21"/>
          <w:color w:val="1F497D"/>
        </w:rPr>
        <w:t xml:space="preserve">[3] </w:t>
      </w:r>
      <w:r>
        <w:rPr>
          <w:rFonts w:ascii="Calibri" w:hAnsi="Calibri"/>
          <w:sz w:val="21"/>
          <w:color w:val="1B365D"/>
        </w:rPr>
        <w:t xml:space="preserve">And I will set my face against that man, and will cut him off from among his people; because he hath given his seed unto Molech, to defile my sanctuary, and to profane my holy name.</w:t>
      </w:r>
    </w:p>
    <w:p>
      <w:pPr>
        <w:ind w:left="500"/>
        <w:spacing w:before="60" w:after="100"/>
      </w:pPr>
      <w:r>
        <w:rPr>
          <w:rFonts w:ascii="Calibri" w:hAnsi="Calibri"/>
          <w:b/>
          <w:sz w:val="21"/>
          <w:color w:val="1F497D"/>
        </w:rPr>
        <w:t xml:space="preserve">[4] </w:t>
      </w:r>
      <w:r>
        <w:rPr>
          <w:rFonts w:ascii="Calibri" w:hAnsi="Calibri"/>
          <w:sz w:val="21"/>
          <w:color w:val="1B365D"/>
        </w:rPr>
        <w:t xml:space="preserve">And if the people of the land do any ways hide their eyes from the man, when he giveth his seed unto Molech, and kill him not:</w:t>
      </w:r>
    </w:p>
    <w:p>
      <w:pPr>
        <w:ind w:left="500"/>
        <w:spacing w:before="60" w:after="100"/>
      </w:pPr>
      <w:r>
        <w:rPr>
          <w:rFonts w:ascii="Calibri" w:hAnsi="Calibri"/>
          <w:b/>
          <w:sz w:val="21"/>
          <w:color w:val="1F497D"/>
        </w:rPr>
        <w:t xml:space="preserve">[5] </w:t>
      </w:r>
      <w:r>
        <w:rPr>
          <w:rFonts w:ascii="Calibri" w:hAnsi="Calibri"/>
          <w:sz w:val="21"/>
          <w:color w:val="1B365D"/>
        </w:rPr>
        <w:t xml:space="preserve">Then I will set my face against that man, and against his family, and will cut him off, and all that go a whoring after him, to commit whoredom with Molech, from among their people.</w:t>
      </w:r>
    </w:p>
    <w:p>
      <w:pPr>
        <w:spacing w:after="140" w:line="276" w:lineRule="auto"/>
      </w:pPr>
      <w:r>
        <w:rPr>
          <w:rFonts w:ascii="Calibri" w:hAnsi="Calibri"/>
          <w:sz w:val="22"/>
          <w:color w:val="222222"/>
        </w:rPr>
        <w:t xml:space="preserve">Deuteronomy 12:31</w:t>
      </w:r>
    </w:p>
    <w:p>
      <w:pPr>
        <w:ind w:left="500"/>
        <w:spacing w:before="60" w:after="100"/>
      </w:pPr>
      <w:r>
        <w:rPr>
          <w:rFonts w:ascii="Calibri" w:hAnsi="Calibri"/>
          <w:b/>
          <w:sz w:val="21"/>
          <w:color w:val="1F497D"/>
        </w:rPr>
        <w:t xml:space="preserve">[31] </w:t>
      </w:r>
      <w:r>
        <w:rPr>
          <w:rFonts w:ascii="Calibri" w:hAnsi="Calibri"/>
          <w:sz w:val="21"/>
          <w:color w:val="1B365D"/>
        </w:rPr>
        <w:t xml:space="preserve">Thou shalt not do so unto the LORD thy God: for every abomination to the LORD, which he hateth, have they done unto their gods; for even their sons and their daughters they have burnt in the fire to their gods.</w:t>
      </w:r>
    </w:p>
    <w:p>
      <w:pPr>
        <w:spacing w:after="140" w:line="276" w:lineRule="auto"/>
      </w:pPr>
      <w:r>
        <w:rPr>
          <w:rFonts w:ascii="Calibri" w:hAnsi="Calibri"/>
          <w:sz w:val="22"/>
          <w:color w:val="222222"/>
        </w:rPr>
        <w:t xml:space="preserve">Deuteronomy 18:10</w:t>
      </w:r>
    </w:p>
    <w:p>
      <w:pPr>
        <w:ind w:left="500"/>
        <w:spacing w:before="60" w:after="100"/>
      </w:pPr>
      <w:r>
        <w:rPr>
          <w:rFonts w:ascii="Calibri" w:hAnsi="Calibri"/>
          <w:b/>
          <w:sz w:val="21"/>
          <w:color w:val="1F497D"/>
        </w:rPr>
        <w:t xml:space="preserve">[10] </w:t>
      </w:r>
      <w:r>
        <w:rPr>
          <w:rFonts w:ascii="Calibri" w:hAnsi="Calibri"/>
          <w:sz w:val="21"/>
          <w:color w:val="1B365D"/>
        </w:rPr>
        <w:t xml:space="preserve">There shall not be found among you any one that maketh his son or his daughter to pass through the fire, or that useth divination, or an observer of times, or an enchanter, or a witch,</w:t>
      </w:r>
    </w:p>
    <w:p>
      <w:pPr>
        <w:spacing w:after="140" w:line="276" w:lineRule="auto"/>
      </w:pPr>
      <w:r>
        <w:rPr>
          <w:rFonts w:ascii="Calibri" w:hAnsi="Calibri"/>
          <w:sz w:val="22"/>
          <w:color w:val="222222"/>
        </w:rPr>
        <w:t xml:space="preserve">Any theological theory suggesting that God sacrificed Jesus to satisfy His own wrath is incompatible with these texts. God would not do for Himself what He explicitly forbids and identifies as an abomination.</w:t>
      </w:r>
    </w:p>
    <w:p>
      <w:pPr>
        <w:spacing w:after="140" w:line="276" w:lineRule="auto"/>
      </w:pPr>
      <w:r>
        <w:rPr>
          <w:rFonts w:ascii="Calibri" w:hAnsi="Calibri"/>
          <w:sz w:val="22"/>
          <w:color w:val="222222"/>
        </w:rPr>
        <w:t xml:space="preserve">Furthermore, we find records of kings who walked in the way of the pagan nations and sacrificed their children, such as Ahaz and Manasseh:</w:t>
      </w:r>
    </w:p>
    <w:p>
      <w:pPr>
        <w:spacing w:after="140" w:line="276" w:lineRule="auto"/>
      </w:pPr>
      <w:r>
        <w:rPr>
          <w:rFonts w:ascii="Calibri" w:hAnsi="Calibri"/>
          <w:sz w:val="22"/>
          <w:color w:val="222222"/>
        </w:rPr>
        <w:t xml:space="preserve">2 Kings 16:3</w:t>
      </w:r>
    </w:p>
    <w:p>
      <w:pPr>
        <w:ind w:left="500"/>
        <w:spacing w:before="60" w:after="100"/>
      </w:pPr>
      <w:r>
        <w:rPr>
          <w:rFonts w:ascii="Calibri" w:hAnsi="Calibri"/>
          <w:b/>
          <w:sz w:val="21"/>
          <w:color w:val="1F497D"/>
        </w:rPr>
        <w:t xml:space="preserve">[3] </w:t>
      </w:r>
      <w:r>
        <w:rPr>
          <w:rFonts w:ascii="Calibri" w:hAnsi="Calibri"/>
          <w:sz w:val="21"/>
          <w:color w:val="1B365D"/>
        </w:rPr>
        <w:t xml:space="preserve">But he walked in the way of the kings of Israel, yea, and made his son to pass through the fire, according to the abominations of the heathen, whom the LORD cast out from before the children of Israel.</w:t>
      </w:r>
    </w:p>
    <w:p>
      <w:pPr>
        <w:spacing w:after="140" w:line="276" w:lineRule="auto"/>
      </w:pPr>
      <w:r>
        <w:rPr>
          <w:rFonts w:ascii="Calibri" w:hAnsi="Calibri"/>
          <w:sz w:val="22"/>
          <w:color w:val="222222"/>
        </w:rPr>
        <w:t xml:space="preserve">These practices are documented in other scriptures as direct acts of rebellion and idolatry:</w:t>
      </w:r>
    </w:p>
    <w:p>
      <w:pPr>
        <w:spacing w:after="140" w:line="276" w:lineRule="auto"/>
      </w:pPr>
      <w:r>
        <w:rPr>
          <w:rFonts w:ascii="Calibri" w:hAnsi="Calibri"/>
          <w:sz w:val="22"/>
          <w:color w:val="222222"/>
        </w:rPr>
        <w:t xml:space="preserve">2 Kings 17:17</w:t>
      </w:r>
    </w:p>
    <w:p>
      <w:pPr>
        <w:ind w:left="500"/>
        <w:spacing w:before="60" w:after="100"/>
      </w:pPr>
      <w:r>
        <w:rPr>
          <w:rFonts w:ascii="Calibri" w:hAnsi="Calibri"/>
          <w:b/>
          <w:sz w:val="21"/>
          <w:color w:val="1F497D"/>
        </w:rPr>
        <w:t xml:space="preserve">[17] </w:t>
      </w:r>
      <w:r>
        <w:rPr>
          <w:rFonts w:ascii="Calibri" w:hAnsi="Calibri"/>
          <w:sz w:val="21"/>
          <w:color w:val="1B365D"/>
        </w:rPr>
        <w:t xml:space="preserve">And they caused their sons and their daughters to pass through the fire, and used divination and enchantments, and sold themselves to do evil in the sight of the LORD, to provoke him to anger.</w:t>
      </w:r>
    </w:p>
    <w:p>
      <w:pPr>
        <w:spacing w:after="140" w:line="276" w:lineRule="auto"/>
      </w:pPr>
      <w:r>
        <w:rPr>
          <w:rFonts w:ascii="Calibri" w:hAnsi="Calibri"/>
          <w:sz w:val="22"/>
          <w:color w:val="222222"/>
        </w:rPr>
        <w:t xml:space="preserve">2 Kings 23:10</w:t>
      </w:r>
    </w:p>
    <w:p>
      <w:pPr>
        <w:ind w:left="500"/>
        <w:spacing w:before="60" w:after="100"/>
      </w:pPr>
      <w:r>
        <w:rPr>
          <w:rFonts w:ascii="Calibri" w:hAnsi="Calibri"/>
          <w:b/>
          <w:sz w:val="21"/>
          <w:color w:val="1F497D"/>
        </w:rPr>
        <w:t xml:space="preserve">[10] </w:t>
      </w:r>
      <w:r>
        <w:rPr>
          <w:rFonts w:ascii="Calibri" w:hAnsi="Calibri"/>
          <w:sz w:val="21"/>
          <w:color w:val="1B365D"/>
        </w:rPr>
        <w:t xml:space="preserve">And he defiled Topheth, which is in the valley of the children of Hinnom, that no man might make his son or his daughter to pass through the fire to Molech.</w:t>
      </w:r>
    </w:p>
    <w:p>
      <w:pPr>
        <w:spacing w:after="140" w:line="276" w:lineRule="auto"/>
      </w:pPr>
      <w:r>
        <w:rPr>
          <w:rFonts w:ascii="Calibri" w:hAnsi="Calibri"/>
          <w:sz w:val="22"/>
          <w:color w:val="222222"/>
        </w:rPr>
        <w:t xml:space="preserve">2 Chronicles 33:6</w:t>
      </w:r>
    </w:p>
    <w:p>
      <w:pPr>
        <w:ind w:left="500"/>
        <w:spacing w:before="60" w:after="100"/>
      </w:pPr>
      <w:r>
        <w:rPr>
          <w:rFonts w:ascii="Calibri" w:hAnsi="Calibri"/>
          <w:b/>
          <w:sz w:val="21"/>
          <w:color w:val="1F497D"/>
        </w:rPr>
        <w:t xml:space="preserve">[6] </w:t>
      </w:r>
      <w:r>
        <w:rPr>
          <w:rFonts w:ascii="Calibri" w:hAnsi="Calibri"/>
          <w:sz w:val="21"/>
          <w:color w:val="1B365D"/>
        </w:rPr>
        <w:t xml:space="preserve">And he caused his children to pass through the fire in the valley of the son of Hinnom: also he observed times, and used enchantments, and used witchcraft, and dealt with a familiar spirit, and with wizards: he wrought much evil in the sight of the LORD, to provoke him to anger.</w:t>
      </w:r>
    </w:p>
    <w:p>
      <w:pPr>
        <w:pStyle w:val="Heading3"/>
        <w:spacing w:before="180" w:after="80"/>
      </w:pPr>
      <w:r>
        <w:rPr>
          <w:rFonts w:ascii="Calibri" w:hAnsi="Calibri"/>
          <w:b/>
          <w:sz w:val="25"/>
          <w:color w:val="3B6998"/>
        </w:rPr>
        <w:t>"What Obtained" vs. "What Ought to Be"</w:t>
      </w:r>
    </w:p>
    <w:p>
      <w:pPr>
        <w:spacing w:after="140" w:line="276" w:lineRule="auto"/>
      </w:pPr>
      <w:r>
        <w:rPr>
          <w:rFonts w:ascii="Calibri" w:hAnsi="Calibri"/>
          <w:sz w:val="22"/>
          <w:color w:val="222222"/>
        </w:rPr>
        <w:t xml:space="preserve">The Bible is an honest historical record that reports what obtained (the actual facts of human behavior) rather than always presenting what ought to be (the theological ideal). Just because an event is recorded in Scripture and mentions the name of God does not mean it carries divine approval.</w:t>
      </w:r>
    </w:p>
    <w:p>
      <w:pPr>
        <w:spacing w:after="140" w:line="276" w:lineRule="auto"/>
      </w:pPr>
      <w:r>
        <w:rPr>
          <w:rFonts w:ascii="Calibri" w:hAnsi="Calibri"/>
          <w:sz w:val="22"/>
          <w:color w:val="222222"/>
        </w:rPr>
        <w:t xml:space="preserve">Consider the vow of Jephthah:</w:t>
      </w:r>
    </w:p>
    <w:p>
      <w:pPr>
        <w:spacing w:after="140" w:line="276" w:lineRule="auto"/>
      </w:pPr>
      <w:r>
        <w:rPr>
          <w:rFonts w:ascii="Calibri" w:hAnsi="Calibri"/>
          <w:sz w:val="22"/>
          <w:color w:val="222222"/>
        </w:rPr>
        <w:t xml:space="preserve">Judges 11:30-31</w:t>
      </w:r>
    </w:p>
    <w:p>
      <w:pPr>
        <w:ind w:left="500"/>
        <w:spacing w:before="60" w:after="100"/>
      </w:pPr>
      <w:r>
        <w:rPr>
          <w:rFonts w:ascii="Calibri" w:hAnsi="Calibri"/>
          <w:b/>
          <w:sz w:val="21"/>
          <w:color w:val="1F497D"/>
        </w:rPr>
        <w:t xml:space="preserve">[30] </w:t>
      </w:r>
      <w:r>
        <w:rPr>
          <w:rFonts w:ascii="Calibri" w:hAnsi="Calibri"/>
          <w:sz w:val="21"/>
          <w:color w:val="1B365D"/>
        </w:rPr>
        <w:t xml:space="preserve">And Jephthah vowed a vow unto the LORD, and said, If thou shalt without fail deliver the children of Ammon into mine hands,</w:t>
      </w:r>
    </w:p>
    <w:p>
      <w:pPr>
        <w:ind w:left="500"/>
        <w:spacing w:before="60" w:after="100"/>
      </w:pPr>
      <w:r>
        <w:rPr>
          <w:rFonts w:ascii="Calibri" w:hAnsi="Calibri"/>
          <w:b/>
          <w:sz w:val="21"/>
          <w:color w:val="1F497D"/>
        </w:rPr>
        <w:t xml:space="preserve">[31] </w:t>
      </w:r>
      <w:r>
        <w:rPr>
          <w:rFonts w:ascii="Calibri" w:hAnsi="Calibri"/>
          <w:sz w:val="21"/>
          <w:color w:val="1B365D"/>
        </w:rPr>
        <w:t xml:space="preserve">Then it shall be, that whatsoever cometh forth of the doors of my house to meet me, when I return in peace from the children of Ammon, shall surely be the LORD's, and I will offer it up for a burnt offering.</w:t>
      </w:r>
    </w:p>
    <w:p>
      <w:pPr>
        <w:spacing w:after="140" w:line="276" w:lineRule="auto"/>
      </w:pPr>
      <w:r>
        <w:rPr>
          <w:rFonts w:ascii="Calibri" w:hAnsi="Calibri"/>
          <w:sz w:val="22"/>
          <w:color w:val="222222"/>
        </w:rPr>
        <w:t xml:space="preserve">Judges 11:39</w:t>
      </w:r>
    </w:p>
    <w:p>
      <w:pPr>
        <w:ind w:left="500"/>
        <w:spacing w:before="60" w:after="100"/>
      </w:pPr>
      <w:r>
        <w:rPr>
          <w:rFonts w:ascii="Calibri" w:hAnsi="Calibri"/>
          <w:b/>
          <w:sz w:val="21"/>
          <w:color w:val="1F497D"/>
        </w:rPr>
        <w:t xml:space="preserve">[39] </w:t>
      </w:r>
      <w:r>
        <w:rPr>
          <w:rFonts w:ascii="Calibri" w:hAnsi="Calibri"/>
          <w:sz w:val="21"/>
          <w:color w:val="1B365D"/>
        </w:rPr>
        <w:t xml:space="preserve">And it came to pass at the end of two months, that she returned unto her father, who did with her according to his vow which he had vowed: and she knew no man. And it was a custom in Israel,</w:t>
      </w:r>
    </w:p>
    <w:p>
      <w:pPr>
        <w:spacing w:after="140" w:line="276" w:lineRule="auto"/>
      </w:pPr>
      <w:r>
        <w:rPr>
          <w:rFonts w:ascii="Calibri" w:hAnsi="Calibri"/>
          <w:sz w:val="22"/>
          <w:color w:val="222222"/>
        </w:rPr>
        <w:t xml:space="preserve">Jephthah was an anointed judge upon whom the Spirit of God rested, yet he was influenced by the pagan Canaanite cultures surrounding him. His vow was an expression of his own ignorance, not a divine requirement. Similarly, other leaders like Samson slept with harlots, and Gideon created a golden ephod that led Israel into idolatry:</w:t>
      </w:r>
    </w:p>
    <w:p>
      <w:pPr>
        <w:spacing w:after="140" w:line="276" w:lineRule="auto"/>
      </w:pPr>
      <w:r>
        <w:rPr>
          <w:rFonts w:ascii="Calibri" w:hAnsi="Calibri"/>
          <w:sz w:val="22"/>
          <w:color w:val="222222"/>
        </w:rPr>
        <w:t xml:space="preserve">Judges 16:1</w:t>
      </w:r>
    </w:p>
    <w:p>
      <w:pPr>
        <w:ind w:left="500"/>
        <w:spacing w:before="60" w:after="100"/>
      </w:pPr>
      <w:r>
        <w:rPr>
          <w:rFonts w:ascii="Calibri" w:hAnsi="Calibri"/>
          <w:b/>
          <w:sz w:val="21"/>
          <w:color w:val="1F497D"/>
        </w:rPr>
        <w:t xml:space="preserve">[1] </w:t>
      </w:r>
      <w:r>
        <w:rPr>
          <w:rFonts w:ascii="Calibri" w:hAnsi="Calibri"/>
          <w:sz w:val="21"/>
          <w:color w:val="1B365D"/>
        </w:rPr>
        <w:t xml:space="preserve">Then went Samson to Gaza, and saw there an harlot, and went in unto her.</w:t>
      </w:r>
    </w:p>
    <w:p>
      <w:pPr>
        <w:spacing w:after="140" w:line="276" w:lineRule="auto"/>
      </w:pPr>
      <w:r>
        <w:rPr>
          <w:rFonts w:ascii="Calibri" w:hAnsi="Calibri"/>
          <w:sz w:val="22"/>
          <w:color w:val="222222"/>
        </w:rPr>
        <w:t xml:space="preserve">Judges 8:27</w:t>
      </w:r>
    </w:p>
    <w:p>
      <w:pPr>
        <w:ind w:left="500"/>
        <w:spacing w:before="60" w:after="100"/>
      </w:pPr>
      <w:r>
        <w:rPr>
          <w:rFonts w:ascii="Calibri" w:hAnsi="Calibri"/>
          <w:b/>
          <w:sz w:val="21"/>
          <w:color w:val="1F497D"/>
        </w:rPr>
        <w:t xml:space="preserve">[27] </w:t>
      </w:r>
      <w:r>
        <w:rPr>
          <w:rFonts w:ascii="Calibri" w:hAnsi="Calibri"/>
          <w:sz w:val="21"/>
          <w:color w:val="1B365D"/>
        </w:rPr>
        <w:t xml:space="preserve">And Gideon made an ephod thereof, and put it in his city, even in Ophrah: and all Israel went thither a whoring after it: which thing became a snare unto Gideon, and to his house.</w:t>
      </w:r>
    </w:p>
    <w:p>
      <w:pPr>
        <w:spacing w:after="140" w:line="276" w:lineRule="auto"/>
      </w:pPr>
      <w:r>
        <w:rPr>
          <w:rFonts w:ascii="Calibri" w:hAnsi="Calibri"/>
          <w:sz w:val="22"/>
          <w:color w:val="222222"/>
        </w:rPr>
        <w:t xml:space="preserve">These reports are not seals of approval; they are honest accounts of human failing. The Book of Judges summarizes this era of confusion:</w:t>
      </w:r>
    </w:p>
    <w:p>
      <w:pPr>
        <w:spacing w:after="140" w:line="276" w:lineRule="auto"/>
      </w:pPr>
      <w:r>
        <w:rPr>
          <w:rFonts w:ascii="Calibri" w:hAnsi="Calibri"/>
          <w:sz w:val="22"/>
          <w:color w:val="222222"/>
        </w:rPr>
        <w:t xml:space="preserve">Judges 21:25</w:t>
      </w:r>
    </w:p>
    <w:p>
      <w:pPr>
        <w:ind w:left="500"/>
        <w:spacing w:before="60" w:after="100"/>
      </w:pPr>
      <w:r>
        <w:rPr>
          <w:rFonts w:ascii="Calibri" w:hAnsi="Calibri"/>
          <w:b/>
          <w:sz w:val="21"/>
          <w:color w:val="1F497D"/>
        </w:rPr>
        <w:t xml:space="preserve">[25] </w:t>
      </w:r>
      <w:r>
        <w:rPr>
          <w:rFonts w:ascii="Calibri" w:hAnsi="Calibri"/>
          <w:sz w:val="21"/>
          <w:color w:val="1B365D"/>
        </w:rPr>
        <w:t xml:space="preserve">In those days there was no king in Israel: every man did that which was right in his own eyes.</w:t>
      </w:r>
    </w:p>
    <w:p>
      <w:pPr>
        <w:spacing w:after="140" w:line="276" w:lineRule="auto"/>
      </w:pPr>
      <w:r>
        <w:rPr>
          <w:rFonts w:ascii="Calibri" w:hAnsi="Calibri"/>
          <w:sz w:val="22"/>
          <w:color w:val="222222"/>
        </w:rPr>
        <w:t xml:space="preserve">Even in the presence of Jesus, Peter drew a sword and cut off a man's ear. Jesus did not remote-control Peter's actions; He had to step in and heal the ear. The Bible reports Jephthah's vow and Peter's violence because it is an honest book, not because God endorsed those actions.</w:t>
      </w:r>
    </w:p>
    <w:p>
      <w:pPr>
        <w:pStyle w:val="Heading3"/>
        <w:spacing w:before="180" w:after="80"/>
      </w:pPr>
      <w:r>
        <w:rPr>
          <w:rFonts w:ascii="Calibri" w:hAnsi="Calibri"/>
          <w:b/>
          <w:sz w:val="25"/>
          <w:color w:val="3B6998"/>
        </w:rPr>
        <w:t>Firstborn Offering and the Redemption of Sons</w:t>
      </w:r>
    </w:p>
    <w:p>
      <w:pPr>
        <w:spacing w:after="140" w:line="276" w:lineRule="auto"/>
      </w:pPr>
      <w:r>
        <w:rPr>
          <w:rFonts w:ascii="Calibri" w:hAnsi="Calibri"/>
          <w:sz w:val="22"/>
          <w:color w:val="222222"/>
        </w:rPr>
        <w:t xml:space="preserve">Preachers today use the firstborn offering in Exodus to justify financial demands:</w:t>
      </w:r>
    </w:p>
    <w:p>
      <w:pPr>
        <w:spacing w:after="140" w:line="276" w:lineRule="auto"/>
      </w:pPr>
      <w:r>
        <w:rPr>
          <w:rFonts w:ascii="Calibri" w:hAnsi="Calibri"/>
          <w:sz w:val="22"/>
          <w:color w:val="222222"/>
        </w:rPr>
        <w:t xml:space="preserve">Exodus 22:29-30</w:t>
      </w:r>
    </w:p>
    <w:p>
      <w:pPr>
        <w:ind w:left="500"/>
        <w:spacing w:before="60" w:after="100"/>
      </w:pPr>
      <w:r>
        <w:rPr>
          <w:rFonts w:ascii="Calibri" w:hAnsi="Calibri"/>
          <w:b/>
          <w:sz w:val="21"/>
          <w:color w:val="1F497D"/>
        </w:rPr>
        <w:t xml:space="preserve">[29] </w:t>
      </w:r>
      <w:r>
        <w:rPr>
          <w:rFonts w:ascii="Calibri" w:hAnsi="Calibri"/>
          <w:sz w:val="21"/>
          <w:color w:val="1B365D"/>
        </w:rPr>
        <w:t xml:space="preserve">Thou shalt not delay to offer the first of thy ripe fruits, and of thy liquors: the firstborn of thy sons shalt thou give unto me.</w:t>
      </w:r>
    </w:p>
    <w:p>
      <w:pPr>
        <w:ind w:left="500"/>
        <w:spacing w:before="60" w:after="100"/>
      </w:pPr>
      <w:r>
        <w:rPr>
          <w:rFonts w:ascii="Calibri" w:hAnsi="Calibri"/>
          <w:b/>
          <w:sz w:val="21"/>
          <w:color w:val="1F497D"/>
        </w:rPr>
        <w:t xml:space="preserve">[30] </w:t>
      </w:r>
      <w:r>
        <w:rPr>
          <w:rFonts w:ascii="Calibri" w:hAnsi="Calibri"/>
          <w:sz w:val="21"/>
          <w:color w:val="1B365D"/>
        </w:rPr>
        <w:t xml:space="preserve">Likewise shalt thou do with thine oxen, and with thy sheep: seven days it shall be with his dam; on the eighth day thou shalt give it me.</w:t>
      </w:r>
    </w:p>
    <w:p>
      <w:pPr>
        <w:spacing w:after="140" w:line="276" w:lineRule="auto"/>
      </w:pPr>
      <w:r>
        <w:rPr>
          <w:rFonts w:ascii="Calibri" w:hAnsi="Calibri"/>
          <w:sz w:val="22"/>
          <w:color w:val="222222"/>
        </w:rPr>
        <w:t xml:space="preserve">In its original context, this was not a command for human sacrifice. Other scriptures clarify that while the firstborn of animals were sacrificed, the firstborn of sons were to be redeemed:</w:t>
      </w:r>
    </w:p>
    <w:p>
      <w:pPr>
        <w:spacing w:after="140" w:line="276" w:lineRule="auto"/>
      </w:pPr>
      <w:r>
        <w:rPr>
          <w:rFonts w:ascii="Calibri" w:hAnsi="Calibri"/>
          <w:sz w:val="22"/>
          <w:color w:val="222222"/>
        </w:rPr>
        <w:t xml:space="preserve">Exodus 13:13</w:t>
      </w:r>
    </w:p>
    <w:p>
      <w:pPr>
        <w:ind w:left="500"/>
        <w:spacing w:before="60" w:after="100"/>
      </w:pPr>
      <w:r>
        <w:rPr>
          <w:rFonts w:ascii="Calibri" w:hAnsi="Calibri"/>
          <w:b/>
          <w:sz w:val="21"/>
          <w:color w:val="1F497D"/>
        </w:rPr>
        <w:t xml:space="preserve">[13] </w:t>
      </w:r>
      <w:r>
        <w:rPr>
          <w:rFonts w:ascii="Calibri" w:hAnsi="Calibri"/>
          <w:sz w:val="21"/>
          <w:color w:val="1B365D"/>
        </w:rPr>
        <w:t xml:space="preserve">And every firstling of an ass thou shalt redeem with a lamb; and if thou wilt not redeem it, then thou shalt break his neck: and all the firstborn of man among thy children shalt thou redeem.</w:t>
      </w:r>
    </w:p>
    <w:p>
      <w:pPr>
        <w:spacing w:after="140" w:line="276" w:lineRule="auto"/>
      </w:pPr>
      <w:r>
        <w:rPr>
          <w:rFonts w:ascii="Calibri" w:hAnsi="Calibri"/>
          <w:sz w:val="22"/>
          <w:color w:val="222222"/>
        </w:rPr>
        <w:t xml:space="preserve">God sought to emphasize that the first of everything belonged to Him, yet He provided a substitute for human life. To use these texts today to justify financial demands in the church is a profound misuse of Scripture. It is an unsustainable practice that lifts a specific, historical regulation out of its context to manipulate believers.</w:t>
      </w:r>
    </w:p>
    <w:p>
      <w:pPr>
        <w:pStyle w:val="Heading3"/>
        <w:spacing w:before="180" w:after="80"/>
      </w:pPr>
      <w:r>
        <w:rPr>
          <w:rFonts w:ascii="Calibri" w:hAnsi="Calibri"/>
          <w:b/>
          <w:sz w:val="25"/>
          <w:color w:val="3B6998"/>
        </w:rPr>
        <w:t>Ezekiel 20 and "Statutes That Were Not Good"</w:t>
      </w:r>
    </w:p>
    <w:p>
      <w:pPr>
        <w:spacing w:after="140" w:line="276" w:lineRule="auto"/>
      </w:pPr>
      <w:r>
        <w:rPr>
          <w:rFonts w:ascii="Calibri" w:hAnsi="Calibri"/>
          <w:sz w:val="22"/>
          <w:color w:val="222222"/>
        </w:rPr>
        <w:t xml:space="preserve">Critics often point to Ezekiel 20:25 to claim that God gave harmful laws:</w:t>
      </w:r>
    </w:p>
    <w:p>
      <w:pPr>
        <w:spacing w:after="140" w:line="276" w:lineRule="auto"/>
      </w:pPr>
      <w:r>
        <w:rPr>
          <w:rFonts w:ascii="Calibri" w:hAnsi="Calibri"/>
          <w:sz w:val="22"/>
          <w:color w:val="222222"/>
        </w:rPr>
        <w:t xml:space="preserve">Ezekiel 20:25-26</w:t>
      </w:r>
    </w:p>
    <w:p>
      <w:pPr>
        <w:ind w:left="500"/>
        <w:spacing w:before="60" w:after="100"/>
      </w:pPr>
      <w:r>
        <w:rPr>
          <w:rFonts w:ascii="Calibri" w:hAnsi="Calibri"/>
          <w:b/>
          <w:sz w:val="21"/>
          <w:color w:val="1F497D"/>
        </w:rPr>
        <w:t xml:space="preserve">[25] </w:t>
      </w:r>
      <w:r>
        <w:rPr>
          <w:rFonts w:ascii="Calibri" w:hAnsi="Calibri"/>
          <w:sz w:val="21"/>
          <w:color w:val="1B365D"/>
        </w:rPr>
        <w:t xml:space="preserve">Wherefore I gave them also statutes that were not good, and judgments whereby they should not live;</w:t>
      </w:r>
    </w:p>
    <w:p>
      <w:pPr>
        <w:ind w:left="500"/>
        <w:spacing w:before="60" w:after="100"/>
      </w:pPr>
      <w:r>
        <w:rPr>
          <w:rFonts w:ascii="Calibri" w:hAnsi="Calibri"/>
          <w:b/>
          <w:sz w:val="21"/>
          <w:color w:val="1F497D"/>
        </w:rPr>
        <w:t xml:space="preserve">[26] </w:t>
      </w:r>
      <w:r>
        <w:rPr>
          <w:rFonts w:ascii="Calibri" w:hAnsi="Calibri"/>
          <w:sz w:val="21"/>
          <w:color w:val="1B365D"/>
        </w:rPr>
        <w:t xml:space="preserve">And I polluted them in their own gifts, in that they caused to pass through the fire all that openeth the womb, that I might make them desolate, to the end that they might know that I am the LORD.</w:t>
      </w:r>
    </w:p>
    <w:p>
      <w:pPr>
        <w:spacing w:after="140" w:line="276" w:lineRule="auto"/>
      </w:pPr>
      <w:r>
        <w:rPr>
          <w:rFonts w:ascii="Calibri" w:hAnsi="Calibri"/>
          <w:sz w:val="22"/>
          <w:color w:val="222222"/>
        </w:rPr>
        <w:t xml:space="preserve">To interpret this as God literally giving harmful laws is to ignore the context. Earlier in the same chapter, God declares that He gave them statutes that they should live in:</w:t>
      </w:r>
    </w:p>
    <w:p>
      <w:pPr>
        <w:spacing w:after="140" w:line="276" w:lineRule="auto"/>
      </w:pPr>
      <w:r>
        <w:rPr>
          <w:rFonts w:ascii="Calibri" w:hAnsi="Calibri"/>
          <w:sz w:val="22"/>
          <w:color w:val="222222"/>
        </w:rPr>
        <w:t xml:space="preserve">Ezekiel 20:11-13</w:t>
      </w:r>
    </w:p>
    <w:p>
      <w:pPr>
        <w:ind w:left="500"/>
        <w:spacing w:before="60" w:after="100"/>
      </w:pPr>
      <w:r>
        <w:rPr>
          <w:rFonts w:ascii="Calibri" w:hAnsi="Calibri"/>
          <w:b/>
          <w:sz w:val="21"/>
          <w:color w:val="1F497D"/>
        </w:rPr>
        <w:t xml:space="preserve">[11] </w:t>
      </w:r>
      <w:r>
        <w:rPr>
          <w:rFonts w:ascii="Calibri" w:hAnsi="Calibri"/>
          <w:sz w:val="21"/>
          <w:color w:val="1B365D"/>
        </w:rPr>
        <w:t xml:space="preserve">And I gave them my statutes, and shewed them my judgments, which if a man do, he shall even live in them.</w:t>
      </w:r>
    </w:p>
    <w:p>
      <w:pPr>
        <w:ind w:left="500"/>
        <w:spacing w:before="60" w:after="100"/>
      </w:pPr>
      <w:r>
        <w:rPr>
          <w:rFonts w:ascii="Calibri" w:hAnsi="Calibri"/>
          <w:b/>
          <w:sz w:val="21"/>
          <w:color w:val="1F497D"/>
        </w:rPr>
        <w:t xml:space="preserve">[12] </w:t>
      </w:r>
      <w:r>
        <w:rPr>
          <w:rFonts w:ascii="Calibri" w:hAnsi="Calibri"/>
          <w:sz w:val="21"/>
          <w:color w:val="1B365D"/>
        </w:rPr>
        <w:t xml:space="preserve">Moreover also I gave them my sabbaths, to be a sign between me and them, that they might know that I am the LORD that sanctify them.</w:t>
      </w:r>
    </w:p>
    <w:p>
      <w:pPr>
        <w:ind w:left="500"/>
        <w:spacing w:before="60" w:after="100"/>
      </w:pPr>
      <w:r>
        <w:rPr>
          <w:rFonts w:ascii="Calibri" w:hAnsi="Calibri"/>
          <w:b/>
          <w:sz w:val="21"/>
          <w:color w:val="1F497D"/>
        </w:rPr>
        <w:t xml:space="preserve">[13] </w:t>
      </w:r>
      <w:r>
        <w:rPr>
          <w:rFonts w:ascii="Calibri" w:hAnsi="Calibri"/>
          <w:sz w:val="21"/>
          <w:color w:val="1B365D"/>
        </w:rPr>
        <w:t xml:space="preserve">But the house of Israel rebelled against me in the wilderness: they walked not in my statutes, and they despised my judgments, which if a man do, he shall even live in them;</w:t>
      </w:r>
    </w:p>
    <w:p>
      <w:pPr>
        <w:spacing w:after="140" w:line="276" w:lineRule="auto"/>
      </w:pPr>
      <w:r>
        <w:rPr>
          <w:rFonts w:ascii="Calibri" w:hAnsi="Calibri"/>
          <w:sz w:val="22"/>
          <w:color w:val="222222"/>
        </w:rPr>
        <w:t xml:space="preserve">When Israel rebelled, God gave them over to the consequences of their choices, much like the reprobate mind described by Paul in Romans 1:28. The statutes that were not good were the pagan practices Israel chose for themselves. In verse 13, the Hebrew word for the good statutes is </w:t>
      </w:r>
      <w:r>
        <w:rPr>
          <w:rFonts w:ascii="Calibri" w:hAnsi="Calibri"/>
          <w:b/>
          <w:sz w:val="22"/>
          <w:color w:val="222222"/>
        </w:rPr>
        <w:t xml:space="preserve">chokot</w:t>
      </w:r>
      <w:r>
        <w:rPr>
          <w:rFonts w:ascii="Calibri" w:hAnsi="Calibri"/>
          <w:sz w:val="22"/>
          <w:color w:val="222222"/>
        </w:rPr>
        <w:t xml:space="preserve"> (feminine). In verse 25, when referring to the bad statutes, the writer switches to the masculine form, </w:t>
      </w:r>
      <w:r>
        <w:rPr>
          <w:rFonts w:ascii="Calibri" w:hAnsi="Calibri"/>
          <w:b/>
          <w:sz w:val="22"/>
          <w:color w:val="222222"/>
        </w:rPr>
        <w:t xml:space="preserve">chukwim</w:t>
      </w:r>
      <w:r>
        <w:rPr>
          <w:rFonts w:ascii="Calibri" w:hAnsi="Calibri"/>
          <w:sz w:val="22"/>
          <w:color w:val="222222"/>
        </w:rPr>
        <w:t xml:space="preserve">. This shift in vocabulary shows that these were different statutes—the human, pagan customs they adopted when they rejected God's laws, which God allowed them to be ruled by.</w:t>
      </w:r>
    </w:p>
    <w:p>
      <w:pPr>
        <w:spacing w:after="140" w:line="276" w:lineRule="auto"/>
      </w:pPr>
      <w:r>
        <w:rPr>
          <w:rFonts w:ascii="Calibri" w:hAnsi="Calibri"/>
          <w:sz w:val="22"/>
          <w:color w:val="222222"/>
        </w:rPr>
        <w:t xml:space="preserve">This utilizes sarcasm, similar to other prophetic passages:</w:t>
      </w:r>
    </w:p>
    <w:p>
      <w:pPr>
        <w:spacing w:after="140" w:line="276" w:lineRule="auto"/>
      </w:pPr>
      <w:r>
        <w:rPr>
          <w:rFonts w:ascii="Calibri" w:hAnsi="Calibri"/>
          <w:sz w:val="22"/>
          <w:color w:val="222222"/>
        </w:rPr>
        <w:t xml:space="preserve">Ezekiel 20:39</w:t>
      </w:r>
    </w:p>
    <w:p>
      <w:pPr>
        <w:ind w:left="500"/>
        <w:spacing w:before="60" w:after="100"/>
      </w:pPr>
      <w:r>
        <w:rPr>
          <w:rFonts w:ascii="Calibri" w:hAnsi="Calibri"/>
          <w:b/>
          <w:sz w:val="21"/>
          <w:color w:val="1F497D"/>
        </w:rPr>
        <w:t xml:space="preserve">[39] </w:t>
      </w:r>
      <w:r>
        <w:rPr>
          <w:rFonts w:ascii="Calibri" w:hAnsi="Calibri"/>
          <w:sz w:val="21"/>
          <w:color w:val="1B365D"/>
        </w:rPr>
        <w:t xml:space="preserve">As for you, O house of Israel, thus saith the Lord GOD; Go ye, serve ye every one his idols, and hereafter also, if ye will not hearken unto me: but pollute ye my holy name no more with your gifts, and with your idols.</w:t>
      </w:r>
    </w:p>
    <w:p>
      <w:pPr>
        <w:spacing w:after="140" w:line="276" w:lineRule="auto"/>
      </w:pPr>
      <w:r>
        <w:rPr>
          <w:rFonts w:ascii="Calibri" w:hAnsi="Calibri"/>
          <w:sz w:val="22"/>
          <w:color w:val="222222"/>
        </w:rPr>
        <w:t xml:space="preserve">Amos 4:4</w:t>
      </w:r>
    </w:p>
    <w:p>
      <w:pPr>
        <w:ind w:left="500"/>
        <w:spacing w:before="60" w:after="100"/>
      </w:pPr>
      <w:r>
        <w:rPr>
          <w:rFonts w:ascii="Calibri" w:hAnsi="Calibri"/>
          <w:b/>
          <w:sz w:val="21"/>
          <w:color w:val="1F497D"/>
        </w:rPr>
        <w:t xml:space="preserve">[4] </w:t>
      </w:r>
      <w:r>
        <w:rPr>
          <w:rFonts w:ascii="Calibri" w:hAnsi="Calibri"/>
          <w:sz w:val="21"/>
          <w:color w:val="1B365D"/>
        </w:rPr>
        <w:t xml:space="preserve">Come to Bethel, and transgress; at Gilgal multiply transgression; and bring your sacrifices every morning, and your tithes after three years:</w:t>
      </w:r>
    </w:p>
    <w:p>
      <w:pPr>
        <w:spacing w:after="140" w:line="276" w:lineRule="auto"/>
      </w:pPr>
      <w:r>
        <w:rPr>
          <w:rFonts w:ascii="Calibri" w:hAnsi="Calibri"/>
          <w:sz w:val="22"/>
          <w:color w:val="222222"/>
        </w:rPr>
        <w:t xml:space="preserve">1 Kings 22:15</w:t>
      </w:r>
    </w:p>
    <w:p>
      <w:pPr>
        <w:ind w:left="500"/>
        <w:spacing w:before="60" w:after="100"/>
      </w:pPr>
      <w:r>
        <w:rPr>
          <w:rFonts w:ascii="Calibri" w:hAnsi="Calibri"/>
          <w:b/>
          <w:sz w:val="21"/>
          <w:color w:val="1F497D"/>
        </w:rPr>
        <w:t xml:space="preserve">[15] </w:t>
      </w:r>
      <w:r>
        <w:rPr>
          <w:rFonts w:ascii="Calibri" w:hAnsi="Calibri"/>
          <w:sz w:val="21"/>
          <w:color w:val="1B365D"/>
        </w:rPr>
        <w:t xml:space="preserve">So he came to the king. And the king said unto him, Micaiah, shall we go against Ramothgilead to battle, or shall we forbear? And he answered him, Go, and prosper: for the LORD shall deliver it into the hand of the king.</w:t>
      </w:r>
    </w:p>
    <w:p>
      <w:pPr>
        <w:spacing w:after="140" w:line="276" w:lineRule="auto"/>
      </w:pPr>
      <w:r>
        <w:rPr>
          <w:rFonts w:ascii="Calibri" w:hAnsi="Calibri"/>
          <w:sz w:val="22"/>
          <w:color w:val="222222"/>
        </w:rPr>
        <w:t xml:space="preserve">Micaiah was mockingly mimicking the false prophets. God did not give Israel bad laws to kill them; He simply allowed them to do what they wanted to do.</w:t>
      </w:r>
    </w:p>
    <w:p>
      <w:pPr>
        <w:pStyle w:val="Heading3"/>
        <w:spacing w:before="180" w:after="80"/>
      </w:pPr>
      <w:r>
        <w:rPr>
          <w:rFonts w:ascii="Calibri" w:hAnsi="Calibri"/>
          <w:b/>
          <w:sz w:val="25"/>
          <w:color w:val="3B6998"/>
        </w:rPr>
        <w:t>God's Relationship to Flawed Human Systems</w:t>
      </w:r>
    </w:p>
    <w:p>
      <w:pPr>
        <w:spacing w:after="140" w:line="276" w:lineRule="auto"/>
      </w:pPr>
      <w:r>
        <w:rPr>
          <w:rFonts w:ascii="Calibri" w:hAnsi="Calibri"/>
          <w:sz w:val="22"/>
          <w:color w:val="222222"/>
        </w:rPr>
        <w:t xml:space="preserve">God did not originate systems such as slavery or the criminal justice system; these emerged from human activity within a fallen world. However, God intervened through Moses to regulate these institutions, making them fairer and more just until the revelation of Jesus could bring the ultimate correction. Jesus taught that love fulfills the entire Law and Prophets, returning humanity to the Beginning—a theocracy of love where human domination has no place.</w:t>
      </w:r>
    </w:p>
    <w:p>
      <w:pPr>
        <w:spacing w:after="140" w:line="276" w:lineRule="auto"/>
      </w:pPr>
      <w:r>
        <w:rPr>
          <w:rFonts w:ascii="Calibri" w:hAnsi="Calibri"/>
          <w:sz w:val="22"/>
          <w:color w:val="222222"/>
        </w:rPr>
        <w:t xml:space="preserve">Paul's instructions concerning slavery in the Epistles follow this same principle. While instructing servants to remain in their calling, he explicitly encourages them to seek freedom if possible:</w:t>
      </w:r>
    </w:p>
    <w:p>
      <w:pPr>
        <w:spacing w:after="140" w:line="276" w:lineRule="auto"/>
      </w:pPr>
      <w:r>
        <w:rPr>
          <w:rFonts w:ascii="Calibri" w:hAnsi="Calibri"/>
          <w:sz w:val="22"/>
          <w:color w:val="222222"/>
        </w:rPr>
        <w:t xml:space="preserve">1 Corinthians 7:20-22</w:t>
      </w:r>
    </w:p>
    <w:p>
      <w:pPr>
        <w:ind w:left="500"/>
        <w:spacing w:before="60" w:after="100"/>
      </w:pPr>
      <w:r>
        <w:rPr>
          <w:rFonts w:ascii="Calibri" w:hAnsi="Calibri"/>
          <w:b/>
          <w:sz w:val="21"/>
          <w:color w:val="1F497D"/>
        </w:rPr>
        <w:t xml:space="preserve">[20] </w:t>
      </w:r>
      <w:r>
        <w:rPr>
          <w:rFonts w:ascii="Calibri" w:hAnsi="Calibri"/>
          <w:sz w:val="21"/>
          <w:color w:val="1B365D"/>
        </w:rPr>
        <w:t xml:space="preserve">Let every man abide in the same calling wherein he was called.</w:t>
      </w:r>
    </w:p>
    <w:p>
      <w:pPr>
        <w:ind w:left="500"/>
        <w:spacing w:before="60" w:after="100"/>
      </w:pPr>
      <w:r>
        <w:rPr>
          <w:rFonts w:ascii="Calibri" w:hAnsi="Calibri"/>
          <w:b/>
          <w:sz w:val="21"/>
          <w:color w:val="1F497D"/>
        </w:rPr>
        <w:t xml:space="preserve">[21] </w:t>
      </w:r>
      <w:r>
        <w:rPr>
          <w:rFonts w:ascii="Calibri" w:hAnsi="Calibri"/>
          <w:sz w:val="21"/>
          <w:color w:val="1B365D"/>
        </w:rPr>
        <w:t xml:space="preserve">Art thou called being a servant? care not for it: but if thou mayest be made free, use it rather.</w:t>
      </w:r>
    </w:p>
    <w:p>
      <w:pPr>
        <w:ind w:left="500"/>
        <w:spacing w:before="60" w:after="100"/>
      </w:pPr>
      <w:r>
        <w:rPr>
          <w:rFonts w:ascii="Calibri" w:hAnsi="Calibri"/>
          <w:b/>
          <w:sz w:val="21"/>
          <w:color w:val="1F497D"/>
        </w:rPr>
        <w:t xml:space="preserve">[22] </w:t>
      </w:r>
      <w:r>
        <w:rPr>
          <w:rFonts w:ascii="Calibri" w:hAnsi="Calibri"/>
          <w:sz w:val="21"/>
          <w:color w:val="1B365D"/>
        </w:rPr>
        <w:t xml:space="preserve">For he that is called in the Lord, being a servant, is the Lord's freeman: likewise also he that is called, being free, is Christ's servant.</w:t>
      </w:r>
    </w:p>
    <w:p>
      <w:pPr>
        <w:spacing w:after="140" w:line="276" w:lineRule="auto"/>
      </w:pPr>
      <w:r>
        <w:rPr>
          <w:rFonts w:ascii="Calibri" w:hAnsi="Calibri"/>
          <w:sz w:val="22"/>
          <w:color w:val="222222"/>
        </w:rPr>
        <w:t xml:space="preserve">This implies that while believers may find themselves within flawed systems, they are encouraged to utilize industry and effort to improve their circumstances. God does not endorse the institution, but He provides wisdom for how to navigate it.</w:t>
      </w:r>
    </w:p>
    <w:p>
      <w:pPr>
        <w:spacing w:after="140" w:line="276" w:lineRule="auto"/>
      </w:pPr>
      <w:r>
        <w:rPr>
          <w:rFonts w:ascii="Calibri" w:hAnsi="Calibri"/>
          <w:sz w:val="22"/>
          <w:color w:val="222222"/>
        </w:rPr>
        <w:t xml:space="preserve">Wealth and government are also human systems. For instance, the history of oil exploration in Nigeria or colonizing land in America involved displacing indigenous populations and serious oppression. In the church, we must not glorify human achievements or wealth, as these systems are often compromised. We must evaluate every Old Testament practice through the lens of Jesus Christ, who is the ultimate correction for every human misunderstanding of the character of God. From the beginning, it was not so; God's heart was always for the preservation of life and the restoration of man.</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color w:val="222222"/>
      </w:rPr>
    </w:rPrDefault>
  </w:docDefaults>
  <w:style w:type="paragraph" w:styleId="Normal" w:default="1">
    <w:name w:val="Normal"/>
  </w:style>
  <w:style w:type="paragraph" w:styleId="Heading1">
    <w:name w:val="heading 1"/>
    <w:rPr>
      <w:b/>
      <w:sz w:val="36"/>
      <w:color w:val="1F497D"/>
    </w:rPr>
  </w:style>
  <w:style w:type="paragraph" w:styleId="Heading2">
    <w:name w:val="heading 2"/>
    <w:rPr>
      <w:b/>
      <w:sz w:val="28"/>
      <w:color w:val="2C5E8A"/>
    </w:rPr>
  </w:style>
  <w:style w:type="paragraph" w:styleId="Heading3">
    <w:name w:val="heading 3"/>
    <w:rPr>
      <w:b/>
      <w:sz w:val="25"/>
      <w:color w:val="3B6998"/>
    </w:rPr>
  </w:style>
</w:styles>
</file>