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7</w:t>
      </w:r>
    </w:p>
    <w:p>
      <w:pPr>
        <w:pStyle w:val="Heading2"/>
        <w:spacing w:before="220" w:after="100"/>
      </w:pPr>
      <w:r>
        <w:rPr>
          <w:rFonts w:ascii="Calibri" w:hAnsi="Calibri"/>
          <w:b/>
          <w:sz w:val="28"/>
          <w:color w:val="2C5E8A"/>
        </w:rPr>
        <w:t>The Centrality of the Old Testament Experiences</w:t>
      </w:r>
    </w:p>
    <w:p>
      <w:pPr>
        <w:spacing w:after="140" w:line="276" w:lineRule="auto"/>
      </w:pPr>
      <w:r>
        <w:rPr>
          <w:rFonts w:ascii="Calibri" w:hAnsi="Calibri"/>
          <w:sz w:val="22"/>
          <w:color w:val="222222"/>
        </w:rPr>
        <w:t xml:space="preserve">To fully grasp the magnitude of the gospel message, one must recognize that the Old Testament forms the foundational backdrop for the New Testament epistles. The Old Testament is a rich tapestry weaving theology, human experiences, encounters, and modes of worship. It is a historical record, but embedded within the frailties of humanity is the theology of Christ in God. Therefore, our study of the Scriptures must be deliberate and systematic, paying close attention to both the spiritual truths and the historical context.</w:t>
      </w:r>
    </w:p>
    <w:p>
      <w:pPr>
        <w:spacing w:after="140" w:line="276" w:lineRule="auto"/>
      </w:pPr>
      <w:r>
        <w:rPr>
          <w:rFonts w:ascii="Calibri" w:hAnsi="Calibri"/>
          <w:sz w:val="22"/>
          <w:color w:val="222222"/>
        </w:rPr>
        <w:t xml:space="preserve">The writers of the epistles, particularly Paul, often utilized cryptic, spiritualized language to summarize Old Testament realities. When Paul speaks of pulling down strongholds, fighting the good fight of faith, or fighting as one who beats the air, he uses military terminologies that the early church immediately recognized. They understood that these spiritual metaphors were drawn from the literal, physical conflicts recorded in Israel's history. However, the writer of Hebrews takes a different, more explicit approach. In Hebrews 11, he brings the raw historical experiences of the patriarchs—Abel's sacrifice, Noah's ark, Abraham's sojourning, and the military conquests of Joshua and the Judges—directly to the forefront. He presents these experiences not as mere history, but as profound acts of faith.</w:t>
      </w:r>
    </w:p>
    <w:p>
      <w:pPr>
        <w:spacing w:after="140" w:line="276" w:lineRule="auto"/>
      </w:pPr>
      <w:r>
        <w:rPr>
          <w:rFonts w:ascii="Calibri" w:hAnsi="Calibri"/>
          <w:sz w:val="22"/>
          <w:color w:val="222222"/>
        </w:rPr>
        <w:t xml:space="preserve">The audience of the early apostles possessed a deep understanding of the Old Testament narratives. They understood the grammar, the theology of the wars, and the intricacies of the temple worship. When Moses built the tabernacle, he was instructed to build it "according to the pattern" shown to him. Yet, the physical materials and the layout he used were heavily influenced by the Near Eastern culture and the imagery of worship he had observed in Egypt. God, in His unsearchable wisdom, worked through the limitations of human civilization and frailties to present a perfect shadow of Christ.</w:t>
      </w:r>
    </w:p>
    <w:p>
      <w:pPr>
        <w:spacing w:after="140" w:line="276" w:lineRule="auto"/>
      </w:pPr>
      <w:r>
        <w:rPr>
          <w:rFonts w:ascii="Calibri" w:hAnsi="Calibri"/>
          <w:sz w:val="22"/>
          <w:color w:val="222222"/>
        </w:rPr>
        <w:t xml:space="preserve">It is vital to understand that the use of a human system in Scripture does not equal divine endorsement of that system. For instance, Jesus used the concept of a master and servant paying debts to explain the forgiveness of sins. This did not mean Jesus was endorsing the institution of slavery; rather, He was utilizing the available cultural framework to communicate a higher spiritual truth. Similarly, when Hebrews 11 states that the elders "wrought righteousness" through wars, the word used for righteousness is </w:t>
      </w:r>
      <w:r>
        <w:rPr>
          <w:rFonts w:ascii="Calibri" w:hAnsi="Calibri"/>
          <w:i/>
          <w:sz w:val="22"/>
          <w:color w:val="222222"/>
        </w:rPr>
        <w:t xml:space="preserve">dikaiosune</w:t>
      </w:r>
      <w:r>
        <w:rPr>
          <w:rFonts w:ascii="Calibri" w:hAnsi="Calibri"/>
          <w:sz w:val="22"/>
          <w:color w:val="222222"/>
        </w:rPr>
        <w:t xml:space="preserve">, meaning justice or doing what is right within a legal context. To understand how wars could be considered acts of justice or faith, we must step out of our twenty-first-century mindset and enter the ancient world.</w:t>
      </w:r>
    </w:p>
    <w:p>
      <w:pPr>
        <w:pStyle w:val="Heading2"/>
        <w:spacing w:before="220" w:after="100"/>
      </w:pPr>
      <w:r>
        <w:rPr>
          <w:rFonts w:ascii="Calibri" w:hAnsi="Calibri"/>
          <w:b/>
          <w:sz w:val="28"/>
          <w:color w:val="2C5E8A"/>
        </w:rPr>
        <w:t>Decoding Ancient War Rhetoric</w:t>
      </w:r>
    </w:p>
    <w:p>
      <w:pPr>
        <w:spacing w:after="140" w:line="276" w:lineRule="auto"/>
      </w:pPr>
      <w:r>
        <w:rPr>
          <w:rFonts w:ascii="Calibri" w:hAnsi="Calibri"/>
          <w:sz w:val="22"/>
          <w:color w:val="222222"/>
        </w:rPr>
        <w:t xml:space="preserve">When reading the accounts of the Old Testament conquests, particularly the commands to "utterly destroy" everything that breathes, the modern reader is often confronted with a profound moral dilemma. However, interpreting these texts literally leads to a severe misunderstanding of the narrative. We must cross the barrier of ancient language and Near Eastern war rhetoric to grasp what actually transpired.</w:t>
      </w:r>
    </w:p>
    <w:p>
      <w:pPr>
        <w:spacing w:after="140" w:line="276" w:lineRule="auto"/>
      </w:pPr>
      <w:r>
        <w:rPr>
          <w:rFonts w:ascii="Calibri" w:hAnsi="Calibri"/>
          <w:sz w:val="22"/>
          <w:color w:val="222222"/>
        </w:rPr>
        <w:t xml:space="preserve">In the ancient world, military conquests were the standard means of claiming territory and ensuring national survival. Furthermore, the way these conquests were recorded involved significant hyperbole and braggadocio. When an ancient text declares that a city was completely annihilated, leaving no survivors—including women and children—it was a recognized idiomatic expression for a decisive military victory, not a literal census of casualties. We see this exact rhetoric in the annals of surrounding nations. Egyptian pharaohs, Hittite kings, and Assyrian rulers routinely boasted of wiping entire populations off the face of the earth, even when those populations continued to exist and fight in subsequent generations.</w:t>
      </w:r>
    </w:p>
    <w:p>
      <w:pPr>
        <w:spacing w:after="140" w:line="276" w:lineRule="auto"/>
      </w:pPr>
      <w:r>
        <w:rPr>
          <w:rFonts w:ascii="Calibri" w:hAnsi="Calibri"/>
          <w:sz w:val="22"/>
          <w:color w:val="222222"/>
        </w:rPr>
        <w:t xml:space="preserve">This hyperbolic language is evident within the biblical text itself. The phrase "men and women, young and old" is used repeatedly to signify totality in conquest. Yet, archaeological and historical evidence reveals that cities like Jericho and Ai were not vast urban centers with civilian populations. Instead, they were specialized military fortresses or outposts situated at strategic junctions. The walls of Jericho were a military defense system. When the Israelites marched around Jericho, they were encircling a garrison of soldiers, not a civilian neighborhood. The destruction of Jericho was the defeat of a military stronghold.</w:t>
      </w:r>
    </w:p>
    <w:p>
      <w:pPr>
        <w:spacing w:after="140" w:line="276" w:lineRule="auto"/>
      </w:pPr>
      <w:r>
        <w:rPr>
          <w:rFonts w:ascii="Calibri" w:hAnsi="Calibri"/>
          <w:sz w:val="22"/>
          <w:color w:val="222222"/>
        </w:rPr>
        <w:t xml:space="preserve">The command to "utterly destroy" is linked to the Hebrew concept of </w:t>
      </w:r>
      <w:r>
        <w:rPr>
          <w:rFonts w:ascii="Calibri" w:hAnsi="Calibri"/>
          <w:i/>
          <w:sz w:val="22"/>
          <w:color w:val="222222"/>
        </w:rPr>
        <w:t xml:space="preserve">cherem</w:t>
      </w:r>
      <w:r>
        <w:rPr>
          <w:rFonts w:ascii="Calibri" w:hAnsi="Calibri"/>
          <w:sz w:val="22"/>
          <w:color w:val="222222"/>
        </w:rPr>
        <w:t xml:space="preserve">, which means a consecrated destruction or a ban. The primary focus of </w:t>
      </w:r>
      <w:r>
        <w:rPr>
          <w:rFonts w:ascii="Calibri" w:hAnsi="Calibri"/>
          <w:i/>
          <w:sz w:val="22"/>
          <w:color w:val="222222"/>
        </w:rPr>
        <w:t xml:space="preserve">cherem</w:t>
      </w:r>
      <w:r>
        <w:rPr>
          <w:rFonts w:ascii="Calibri" w:hAnsi="Calibri"/>
          <w:sz w:val="22"/>
          <w:color w:val="222222"/>
        </w:rPr>
        <w:t xml:space="preserve"> was the eradication of idolatry and the dismantling of the Canaanite religious infrastructure—the altars, the sacred pillars, and the centers of demonic worship. The wars were religious in nature. God did not command the extermination of innocent civilians; He commanded the breaking of the military and religious powers that threatened to ensnare Israel in idolatrous practices.</w:t>
      </w:r>
    </w:p>
    <w:p>
      <w:pPr>
        <w:spacing w:after="140" w:line="276" w:lineRule="auto"/>
      </w:pPr>
      <w:r>
        <w:rPr>
          <w:rFonts w:ascii="Calibri" w:hAnsi="Calibri"/>
          <w:sz w:val="22"/>
          <w:color w:val="222222"/>
        </w:rPr>
        <w:t xml:space="preserve">When the biblical text says they "drove them out" or "dispossessed" them (using the Hebrew word </w:t>
      </w:r>
      <w:r>
        <w:rPr>
          <w:rFonts w:ascii="Calibri" w:hAnsi="Calibri"/>
          <w:i/>
          <w:sz w:val="22"/>
          <w:color w:val="222222"/>
        </w:rPr>
        <w:t xml:space="preserve">yarash</w:t>
      </w:r>
      <w:r>
        <w:rPr>
          <w:rFonts w:ascii="Calibri" w:hAnsi="Calibri"/>
          <w:sz w:val="22"/>
          <w:color w:val="222222"/>
        </w:rPr>
        <w:t xml:space="preserve">), it speaks of expulsion and taking possession of the land, not wholesale slaughter. God explicitly stated in Exodus 23 that He would drive the nations out "little by little" so that the land would not become desolate. The overarching goal was to conquer the ideological and religious strongholds, establishing a territory where Yahweh could be worshipped exclusively.</w:t>
      </w:r>
    </w:p>
    <w:p>
      <w:pPr>
        <w:spacing w:after="140" w:line="276" w:lineRule="auto"/>
      </w:pPr>
      <w:r>
        <w:rPr>
          <w:rFonts w:ascii="Calibri" w:hAnsi="Calibri"/>
          <w:b/>
          <w:sz w:val="22"/>
          <w:color w:val="222222"/>
        </w:rPr>
        <w:t xml:space="preserve">Hebrews 11:32-33</w:t>
      </w:r>
    </w:p>
    <w:p>
      <w:pPr>
        <w:ind w:left="500"/>
        <w:spacing w:before="60" w:after="100"/>
      </w:pPr>
      <w:r>
        <w:rPr>
          <w:rFonts w:ascii="Calibri" w:hAnsi="Calibri"/>
          <w:b/>
          <w:sz w:val="21"/>
          <w:color w:val="1F497D"/>
        </w:rPr>
        <w:t xml:space="preserve">[32] </w:t>
      </w:r>
      <w:r>
        <w:rPr>
          <w:rFonts w:ascii="Calibri" w:hAnsi="Calibri"/>
          <w:sz w:val="21"/>
          <w:color w:val="1B365D"/>
        </w:rPr>
        <w:t xml:space="preserve">And what shall I more say? for the time would fail me to tell of Gedeon, and of Barak, and of Samson, and of Jephthae; of David also, and Samuel, and of the prophets:</w:t>
      </w:r>
    </w:p>
    <w:p>
      <w:pPr>
        <w:ind w:left="500"/>
        <w:spacing w:before="60" w:after="100"/>
      </w:pPr>
      <w:r>
        <w:rPr>
          <w:rFonts w:ascii="Calibri" w:hAnsi="Calibri"/>
          <w:b/>
          <w:sz w:val="21"/>
          <w:color w:val="1F497D"/>
        </w:rPr>
        <w:t xml:space="preserve">[33] </w:t>
      </w:r>
      <w:r>
        <w:rPr>
          <w:rFonts w:ascii="Calibri" w:hAnsi="Calibri"/>
          <w:sz w:val="21"/>
          <w:color w:val="1B365D"/>
        </w:rPr>
        <w:t xml:space="preserve">Who through faith subdued kingdoms, wrought righteousness, obtained promises, stopped the mouths of lions,</w:t>
      </w:r>
    </w:p>
    <w:p>
      <w:pPr>
        <w:spacing w:after="140" w:line="276" w:lineRule="auto"/>
      </w:pPr>
      <w:r>
        <w:rPr>
          <w:rFonts w:ascii="Calibri" w:hAnsi="Calibri"/>
          <w:b/>
          <w:sz w:val="22"/>
          <w:color w:val="222222"/>
        </w:rPr>
        <w:t xml:space="preserve">Exodus 23:29-30</w:t>
      </w:r>
    </w:p>
    <w:p>
      <w:pPr>
        <w:ind w:left="500"/>
        <w:spacing w:before="60" w:after="100"/>
      </w:pPr>
      <w:r>
        <w:rPr>
          <w:rFonts w:ascii="Calibri" w:hAnsi="Calibri"/>
          <w:b/>
          <w:sz w:val="21"/>
          <w:color w:val="1F497D"/>
        </w:rPr>
        <w:t xml:space="preserve">[29] </w:t>
      </w:r>
      <w:r>
        <w:rPr>
          <w:rFonts w:ascii="Calibri" w:hAnsi="Calibri"/>
          <w:sz w:val="21"/>
          <w:color w:val="1B365D"/>
        </w:rPr>
        <w:t xml:space="preserve">I will not drive them out from before thee in one year; lest the land become desolate, and the beast of the field multiply against thee.</w:t>
      </w:r>
    </w:p>
    <w:p>
      <w:pPr>
        <w:ind w:left="500"/>
        <w:spacing w:before="60" w:after="100"/>
      </w:pPr>
      <w:r>
        <w:rPr>
          <w:rFonts w:ascii="Calibri" w:hAnsi="Calibri"/>
          <w:b/>
          <w:sz w:val="21"/>
          <w:color w:val="1F497D"/>
        </w:rPr>
        <w:t xml:space="preserve">[30] </w:t>
      </w:r>
      <w:r>
        <w:rPr>
          <w:rFonts w:ascii="Calibri" w:hAnsi="Calibri"/>
          <w:sz w:val="21"/>
          <w:color w:val="1B365D"/>
        </w:rPr>
        <w:t xml:space="preserve">By little and little I will drive them out from before thee, until thou be increased, and inherit the land.</w:t>
      </w:r>
    </w:p>
    <w:p>
      <w:pPr>
        <w:pStyle w:val="Heading2"/>
        <w:spacing w:before="220" w:after="100"/>
      </w:pPr>
      <w:r>
        <w:rPr>
          <w:rFonts w:ascii="Calibri" w:hAnsi="Calibri"/>
          <w:b/>
          <w:sz w:val="28"/>
          <w:color w:val="2C5E8A"/>
        </w:rPr>
        <w:t>The Amalekites and Defensive Warfare</w:t>
      </w:r>
    </w:p>
    <w:p>
      <w:pPr>
        <w:spacing w:after="140" w:line="276" w:lineRule="auto"/>
      </w:pPr>
      <w:r>
        <w:rPr>
          <w:rFonts w:ascii="Calibri" w:hAnsi="Calibri"/>
          <w:sz w:val="22"/>
          <w:color w:val="222222"/>
        </w:rPr>
        <w:t xml:space="preserve">Another critical element in understanding the Old Testament wars is recognizing that the majority of Israel's military engagements were defensive. Israel was an assembly of nomadic people, recently freed from slavery, traversing the wilderness. They were not a highly trained, aggressive imperial army seeking to conquer the globe. God strictly prohibited them from attacking several neighboring nations, such as Edom, Moab, and Ammon, even when those nations refused them passage.</w:t>
      </w:r>
    </w:p>
    <w:p>
      <w:pPr>
        <w:spacing w:after="140" w:line="276" w:lineRule="auto"/>
      </w:pPr>
      <w:r>
        <w:rPr>
          <w:rFonts w:ascii="Calibri" w:hAnsi="Calibri"/>
          <w:sz w:val="22"/>
          <w:color w:val="222222"/>
        </w:rPr>
        <w:t xml:space="preserve">However, Israel faced relentless, unprovoked aggression from certain groups, most notably the Amalekites and the Midianites. The Amalekites were sworn, generational enemies of Israel. They attacked the Israelites from behind when they were weary and vulnerable, striking the feeble and the stragglers. In modern terms, the tactics of the Amalekites parallel those of relentless terror organizations. They were committed to the total destruction of Israel.</w:t>
      </w:r>
    </w:p>
    <w:p>
      <w:pPr>
        <w:spacing w:after="140" w:line="276" w:lineRule="auto"/>
      </w:pPr>
      <w:r>
        <w:rPr>
          <w:rFonts w:ascii="Calibri" w:hAnsi="Calibri"/>
          <w:sz w:val="22"/>
          <w:color w:val="222222"/>
        </w:rPr>
        <w:t xml:space="preserve">When Saul was instructed in 1 Samuel 15 to utterly destroy Amalek, the command must be read through the lens of this historical antagonism and the war rhetoric of the day. The instruction to spare neither man, woman, nor child was the ancient equivalent of declaring a total war against a persistent terrorist threat. It meant dismantling their military capacity and leadership structure entirely. When David later encounters the Amalekites, they are still raiding and burning cities like Ziklag, proving that the previous "utter destruction" was rhetorical rather than literal. The conflict with the Amalekites was a preservative, defensive necessity for the survival of the nation of Israel.</w:t>
      </w:r>
    </w:p>
    <w:p>
      <w:pPr>
        <w:spacing w:after="140" w:line="276" w:lineRule="auto"/>
      </w:pPr>
      <w:r>
        <w:rPr>
          <w:rFonts w:ascii="Calibri" w:hAnsi="Calibri"/>
          <w:b/>
          <w:sz w:val="22"/>
          <w:color w:val="222222"/>
        </w:rPr>
        <w:t xml:space="preserve">1 Samuel 15:2-3</w:t>
      </w:r>
    </w:p>
    <w:p>
      <w:pPr>
        <w:ind w:left="500"/>
        <w:spacing w:before="60" w:after="100"/>
      </w:pPr>
      <w:r>
        <w:rPr>
          <w:rFonts w:ascii="Calibri" w:hAnsi="Calibri"/>
          <w:b/>
          <w:sz w:val="21"/>
          <w:color w:val="1F497D"/>
        </w:rPr>
        <w:t xml:space="preserve">[2] </w:t>
      </w:r>
      <w:r>
        <w:rPr>
          <w:rFonts w:ascii="Calibri" w:hAnsi="Calibri"/>
          <w:sz w:val="21"/>
          <w:color w:val="1B365D"/>
        </w:rPr>
        <w:t xml:space="preserve">Thus saith the LORD of hosts, I remember that which Amalek did to Israel, how he laid wait for him in the way, when he came up from Egypt.</w:t>
      </w:r>
    </w:p>
    <w:p>
      <w:pPr>
        <w:ind w:left="500"/>
        <w:spacing w:before="60" w:after="100"/>
      </w:pPr>
      <w:r>
        <w:rPr>
          <w:rFonts w:ascii="Calibri" w:hAnsi="Calibri"/>
          <w:b/>
          <w:sz w:val="21"/>
          <w:color w:val="1F497D"/>
        </w:rPr>
        <w:t xml:space="preserve">[3] </w:t>
      </w:r>
      <w:r>
        <w:rPr>
          <w:rFonts w:ascii="Calibri" w:hAnsi="Calibri"/>
          <w:sz w:val="21"/>
          <w:color w:val="1B365D"/>
        </w:rPr>
        <w:t xml:space="preserve">Now go and smite Amalek, and utterly destroy all that they have, and spare them not; but slay both man and woman, infant and suckling, ox and sheep, camel and ass.</w:t>
      </w:r>
    </w:p>
    <w:p>
      <w:pPr>
        <w:spacing w:after="140" w:line="276" w:lineRule="auto"/>
      </w:pPr>
      <w:r>
        <w:rPr>
          <w:rFonts w:ascii="Calibri" w:hAnsi="Calibri"/>
          <w:b/>
          <w:sz w:val="22"/>
          <w:color w:val="222222"/>
        </w:rPr>
        <w:t xml:space="preserve">Deuteronomy 25:17-19</w:t>
      </w:r>
    </w:p>
    <w:p>
      <w:pPr>
        <w:ind w:left="500"/>
        <w:spacing w:before="60" w:after="100"/>
      </w:pPr>
      <w:r>
        <w:rPr>
          <w:rFonts w:ascii="Calibri" w:hAnsi="Calibri"/>
          <w:b/>
          <w:sz w:val="21"/>
          <w:color w:val="1F497D"/>
        </w:rPr>
        <w:t xml:space="preserve">[17] </w:t>
      </w:r>
      <w:r>
        <w:rPr>
          <w:rFonts w:ascii="Calibri" w:hAnsi="Calibri"/>
          <w:sz w:val="21"/>
          <w:color w:val="1B365D"/>
        </w:rPr>
        <w:t xml:space="preserve">Remember what Amalek did unto thee by the way, when ye were come forth out of Egypt;</w:t>
      </w:r>
    </w:p>
    <w:p>
      <w:pPr>
        <w:ind w:left="500"/>
        <w:spacing w:before="60" w:after="100"/>
      </w:pPr>
      <w:r>
        <w:rPr>
          <w:rFonts w:ascii="Calibri" w:hAnsi="Calibri"/>
          <w:b/>
          <w:sz w:val="21"/>
          <w:color w:val="1F497D"/>
        </w:rPr>
        <w:t xml:space="preserve">[18] </w:t>
      </w:r>
      <w:r>
        <w:rPr>
          <w:rFonts w:ascii="Calibri" w:hAnsi="Calibri"/>
          <w:sz w:val="21"/>
          <w:color w:val="1B365D"/>
        </w:rPr>
        <w:t xml:space="preserve">How he met thee by the way, and smote the hindmost of thee, even all that were feeble behind thee, when thou wast faint and weary; and he feared not God.</w:t>
      </w:r>
    </w:p>
    <w:p>
      <w:pPr>
        <w:ind w:left="500"/>
        <w:spacing w:before="60" w:after="100"/>
      </w:pPr>
      <w:r>
        <w:rPr>
          <w:rFonts w:ascii="Calibri" w:hAnsi="Calibri"/>
          <w:b/>
          <w:sz w:val="21"/>
          <w:color w:val="1F497D"/>
        </w:rPr>
        <w:t xml:space="preserve">[19] </w:t>
      </w:r>
      <w:r>
        <w:rPr>
          <w:rFonts w:ascii="Calibri" w:hAnsi="Calibri"/>
          <w:sz w:val="21"/>
          <w:color w:val="1B365D"/>
        </w:rPr>
        <w:t xml:space="preserve">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pPr>
        <w:pStyle w:val="Heading2"/>
        <w:spacing w:before="220" w:after="100"/>
      </w:pPr>
      <w:r>
        <w:rPr>
          <w:rFonts w:ascii="Calibri" w:hAnsi="Calibri"/>
          <w:b/>
          <w:sz w:val="28"/>
          <w:color w:val="2C5E8A"/>
        </w:rPr>
        <w:t>Rahab and the Choice of Faith</w:t>
      </w:r>
    </w:p>
    <w:p>
      <w:pPr>
        <w:spacing w:after="140" w:line="276" w:lineRule="auto"/>
      </w:pPr>
      <w:r>
        <w:rPr>
          <w:rFonts w:ascii="Calibri" w:hAnsi="Calibri"/>
          <w:sz w:val="22"/>
          <w:color w:val="222222"/>
        </w:rPr>
        <w:t xml:space="preserve">The story of Rahab in Joshua 2 provides a profound counter-narrative to the assumption that the Canaanite conquest was a blind, indiscriminate slaughter based on ethnicity. When Joshua sent two spies into Jericho, they lodged in the house of Rahab, the harlot. In the ancient Near Eastern context, taverns and inns were frequently located within or near the fortified gates of a city. These inns, often run by women, served travelers, merchants, and sometimes served as hubs for espionage. The Code of Hammurabi even contained laws punishing tavern keepers who harbored conspirators. Rahab, by hiding the Israelite spies, was risking her own life against the authorities of her city.</w:t>
      </w:r>
    </w:p>
    <w:p>
      <w:pPr>
        <w:spacing w:after="140" w:line="276" w:lineRule="auto"/>
      </w:pPr>
      <w:r>
        <w:rPr>
          <w:rFonts w:ascii="Calibri" w:hAnsi="Calibri"/>
          <w:sz w:val="22"/>
          <w:color w:val="222222"/>
        </w:rPr>
        <w:t xml:space="preserve">More importantly, Rahab's dialogue with the spies reveals the true spiritual condition of Canaan. She declares that the fear of the Lord had fallen upon the land and that they had heard of how Yahweh dried up the Red Sea and defeated the kings of the Amorites. Rahab makes a profound theological confession: "The Lord your God, he is God in heaven above, and in earth beneath."</w:t>
      </w:r>
    </w:p>
    <w:p>
      <w:pPr>
        <w:spacing w:after="140" w:line="276" w:lineRule="auto"/>
      </w:pPr>
      <w:r>
        <w:rPr>
          <w:rFonts w:ascii="Calibri" w:hAnsi="Calibri"/>
          <w:sz w:val="22"/>
          <w:color w:val="222222"/>
        </w:rPr>
        <w:t xml:space="preserve">This demonstrates that the Canaanites were not ignorant of Yahweh. They possessed prior knowledge of God's power and His mighty acts. However, while Rahab responded to this knowledge with faith and submission, the rest of the Canaanite leadership responded with hardened rebellion. They chose to fortify their military outposts and trust in their idols rather than acknowledge the Creator. The wars of conquest, therefore, were not unprovoked attacks on innocent, ignorant populations. They were the judgment on a civilization that had witnessed the testimony of God's power and deliberately refused His Lordship. Rahab and her family were spared because she demonstrated faith, proving that deliverance was available to anyone who would align themselves with Yahweh.</w:t>
      </w:r>
    </w:p>
    <w:p>
      <w:pPr>
        <w:spacing w:after="140" w:line="276" w:lineRule="auto"/>
      </w:pPr>
      <w:r>
        <w:rPr>
          <w:rFonts w:ascii="Calibri" w:hAnsi="Calibri"/>
          <w:sz w:val="22"/>
          <w:color w:val="222222"/>
        </w:rPr>
        <w:t xml:space="preserve">Understanding these historical and linguistic nuances protects us from imposing modern ethical judgments on ancient events. It reveals that the underlying narrative of the Old Testament is not one of senseless violence, but of God faithfully preserving the lineage of the Messiah in a brutal, fallen world. The ultimate war was against the spiritual forces of idolatry, a war that continues today not with physical weapons, but through the preaching of the gospel, casting down every imagination that exalts itself against the knowledge of God.</w:t>
      </w:r>
    </w:p>
    <w:p>
      <w:pPr>
        <w:spacing w:after="140" w:line="276" w:lineRule="auto"/>
      </w:pPr>
      <w:r>
        <w:rPr>
          <w:rFonts w:ascii="Calibri" w:hAnsi="Calibri"/>
          <w:b/>
          <w:sz w:val="22"/>
          <w:color w:val="222222"/>
        </w:rPr>
        <w:t xml:space="preserve">Joshua 2:9-11</w:t>
      </w:r>
    </w:p>
    <w:p>
      <w:pPr>
        <w:ind w:left="500"/>
        <w:spacing w:before="60" w:after="100"/>
      </w:pPr>
      <w:r>
        <w:rPr>
          <w:rFonts w:ascii="Calibri" w:hAnsi="Calibri"/>
          <w:b/>
          <w:sz w:val="21"/>
          <w:color w:val="1F497D"/>
        </w:rPr>
        <w:t xml:space="preserve">[9] </w:t>
      </w:r>
      <w:r>
        <w:rPr>
          <w:rFonts w:ascii="Calibri" w:hAnsi="Calibri"/>
          <w:sz w:val="21"/>
          <w:color w:val="1B365D"/>
        </w:rPr>
        <w:t xml:space="preserve">And she said unto the men, I know that the LORD hath given you the land, and that your terror is fallen upon us, and that all the inhabitants of the land faint because of you.</w:t>
      </w:r>
    </w:p>
    <w:p>
      <w:pPr>
        <w:ind w:left="500"/>
        <w:spacing w:before="60" w:after="100"/>
      </w:pPr>
      <w:r>
        <w:rPr>
          <w:rFonts w:ascii="Calibri" w:hAnsi="Calibri"/>
          <w:b/>
          <w:sz w:val="21"/>
          <w:color w:val="1F497D"/>
        </w:rPr>
        <w:t xml:space="preserve">[10] </w:t>
      </w:r>
      <w:r>
        <w:rPr>
          <w:rFonts w:ascii="Calibri" w:hAnsi="Calibri"/>
          <w:sz w:val="21"/>
          <w:color w:val="1B365D"/>
        </w:rPr>
        <w:t xml:space="preserve">For we have heard how the LORD dried up the water of the Red sea for you, when ye came out of Egypt; and what ye did unto the two kings of the Amorites, that were on the other side Jordan, Sihon and Og, whom ye utterly destroyed.</w:t>
      </w:r>
    </w:p>
    <w:p>
      <w:pPr>
        <w:ind w:left="500"/>
        <w:spacing w:before="60" w:after="100"/>
      </w:pPr>
      <w:r>
        <w:rPr>
          <w:rFonts w:ascii="Calibri" w:hAnsi="Calibri"/>
          <w:b/>
          <w:sz w:val="21"/>
          <w:color w:val="1F497D"/>
        </w:rPr>
        <w:t xml:space="preserve">[11] </w:t>
      </w:r>
      <w:r>
        <w:rPr>
          <w:rFonts w:ascii="Calibri" w:hAnsi="Calibri"/>
          <w:sz w:val="21"/>
          <w:color w:val="1B365D"/>
        </w:rPr>
        <w:t xml:space="preserve">And as soon as we had heard these things, our hearts did melt, neither did there remain any more courage in any man, because of you: for the LORD your God, he is God in heaven above, and in earth beneath.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