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8</w:t>
      </w:r>
    </w:p>
    <w:p>
      <w:pPr>
        <w:pStyle w:val="Heading2"/>
        <w:spacing w:before="220" w:after="100"/>
      </w:pPr>
      <w:r>
        <w:rPr>
          <w:rFonts w:ascii="Calibri" w:hAnsi="Calibri"/>
          <w:b/>
          <w:sz w:val="28"/>
          <w:color w:val="2C5E8A"/>
        </w:rPr>
        <w:t>The Exodus as the Blueprint for Redemption</w:t>
      </w:r>
    </w:p>
    <w:p>
      <w:pPr>
        <w:spacing w:after="140" w:line="276" w:lineRule="auto"/>
      </w:pPr>
      <w:r>
        <w:rPr>
          <w:rFonts w:ascii="Calibri" w:hAnsi="Calibri"/>
          <w:sz w:val="22"/>
          <w:color w:val="222222"/>
        </w:rPr>
        <w:t xml:space="preserve">The entire narrative arc of the Old Testament is deeply embedded in the foundational event of the Exodus. From Genesis to Malachi, the imagery of bondage, deliverance, and the establishment of God's kingdom permeates the Scriptures. The Exodus story is not merely a historical account of national liberation; it serves as the ultimate prototype for spiritual redemption. The prophets consistently invoked the imagery of Egypt, Babylon, and the journey through the wilderness to describe humanity's current state of exile and God's promised deliverance.</w:t>
      </w:r>
    </w:p>
    <w:p>
      <w:pPr>
        <w:spacing w:after="140" w:line="276" w:lineRule="auto"/>
      </w:pPr>
      <w:r>
        <w:rPr>
          <w:rFonts w:ascii="Calibri" w:hAnsi="Calibri"/>
          <w:sz w:val="22"/>
          <w:color w:val="222222"/>
        </w:rPr>
        <w:t xml:space="preserve">When the Apostle Paul preaches the gospel, he declares that we are "yet in our sins" if Christ has not risen. This implies that without the resurrection, humanity remains in the true Egypt—in spiritual bondage and exile. The background of all doctrine is the Exodus story, and the background of the Exodus story traces back to the initial promise in Genesis. Thus, when Paul writes that Christ died and rose again "according to the Scriptures," he is drawing upon this vast, interconnected history. It is a history fraught with physical wars, wanderings, and human failures, all of which must be read through the lens of Christ's perfect sacrifice and the glory that follows.</w:t>
      </w:r>
    </w:p>
    <w:p>
      <w:pPr>
        <w:pStyle w:val="Heading2"/>
        <w:spacing w:before="220" w:after="100"/>
      </w:pPr>
      <w:r>
        <w:rPr>
          <w:rFonts w:ascii="Calibri" w:hAnsi="Calibri"/>
          <w:b/>
          <w:sz w:val="28"/>
          <w:color w:val="2C5E8A"/>
        </w:rPr>
        <w:t>Cryptic Explanations and Imperfect Shadows</w:t>
      </w:r>
    </w:p>
    <w:p>
      <w:pPr>
        <w:spacing w:after="140" w:line="276" w:lineRule="auto"/>
      </w:pPr>
      <w:r>
        <w:rPr>
          <w:rFonts w:ascii="Calibri" w:hAnsi="Calibri"/>
          <w:sz w:val="22"/>
          <w:color w:val="222222"/>
        </w:rPr>
        <w:t xml:space="preserve">To rightly divide the Old Testament, one must understand that the apostles often utilized cryptic, spiritualized language to summarize complex, physical historical events. For example, when Paul speaks of "pulling down strongholds" and "casting down imaginations," he is directly drawing from the military conquests of Joshua and the Judges. He is not disclaiming those ancient wars; rather, he is elevating their application. He uses true life historical battles as cryptic explanations for the spiritual warfare believers wage today against the flesh and demonic strongholds. Similarly, when Paul speaks of being "crucified with Christ," he uses the brutal, historical reality of Roman crucifixion to explain the spiritual reality of dying to the flesh and living in the Spirit.</w:t>
      </w:r>
    </w:p>
    <w:p>
      <w:pPr>
        <w:spacing w:after="140" w:line="276" w:lineRule="auto"/>
      </w:pPr>
      <w:r>
        <w:rPr>
          <w:rFonts w:ascii="Calibri" w:hAnsi="Calibri"/>
          <w:sz w:val="22"/>
          <w:color w:val="222222"/>
        </w:rPr>
        <w:t xml:space="preserve">The writer of Hebrews adopts a more direct approach in Hebrews 11. He masterfully strings together a series of highly imperfect human scenarios—Abel's offering, Noah's ark, Abraham dwelling in tents, the wanderings of the patriarchs, and the bloody conquests of the Judges—and links them all to the perfect, finished work of Christ. It is crucial to recognize that none of the events preceding the cross were perfect. The tabernacle, the animal sacrifices, and the wars were all flawed, human systems, heavily influenced by Near Eastern culture. Yet, God, in His unsearchable wisdom, navigated through these messy human frailties, indiscretions, and ancient cultural paradigms to perfectly prefigure the sacrifice of Jesus. We cannot use perfect things to explain a perfect Christ in an imperfect world. God had to use the weak and imperfect elements of a fallen world to point toward His ultimate, perfect redemption.</w:t>
      </w:r>
    </w:p>
    <w:p>
      <w:pPr>
        <w:spacing w:after="140" w:line="276" w:lineRule="auto"/>
      </w:pPr>
      <w:r>
        <w:rPr>
          <w:rFonts w:ascii="Calibri" w:hAnsi="Calibri"/>
          <w:b/>
          <w:sz w:val="22"/>
          <w:color w:val="222222"/>
        </w:rPr>
        <w:t xml:space="preserve">1 Corinthians 15:3-4</w:t>
      </w:r>
    </w:p>
    <w:p>
      <w:pPr>
        <w:ind w:left="500"/>
        <w:spacing w:before="60" w:after="100"/>
      </w:pPr>
      <w:r>
        <w:rPr>
          <w:rFonts w:ascii="Calibri" w:hAnsi="Calibri"/>
          <w:b/>
          <w:sz w:val="21"/>
          <w:color w:val="1F497D"/>
        </w:rPr>
        <w:t xml:space="preserve">[3] </w:t>
      </w:r>
      <w:r>
        <w:rPr>
          <w:rFonts w:ascii="Calibri" w:hAnsi="Calibri"/>
          <w:sz w:val="21"/>
          <w:color w:val="1B365D"/>
        </w:rPr>
        <w:t xml:space="preserve">For I delivered unto you first of all that which I also received, how that Christ died for our sins according to the scriptures;</w:t>
      </w:r>
    </w:p>
    <w:p>
      <w:pPr>
        <w:ind w:left="500"/>
        <w:spacing w:before="60" w:after="100"/>
      </w:pPr>
      <w:r>
        <w:rPr>
          <w:rFonts w:ascii="Calibri" w:hAnsi="Calibri"/>
          <w:b/>
          <w:sz w:val="21"/>
          <w:color w:val="1F497D"/>
        </w:rPr>
        <w:t xml:space="preserve">[4] </w:t>
      </w:r>
      <w:r>
        <w:rPr>
          <w:rFonts w:ascii="Calibri" w:hAnsi="Calibri"/>
          <w:sz w:val="21"/>
          <w:color w:val="1B365D"/>
        </w:rPr>
        <w:t xml:space="preserve">And that he was buried, and that he rose again the third day according to the scriptures:</w:t>
      </w:r>
    </w:p>
    <w:p>
      <w:pPr>
        <w:spacing w:after="140" w:line="276" w:lineRule="auto"/>
      </w:pPr>
      <w:r>
        <w:rPr>
          <w:rFonts w:ascii="Calibri" w:hAnsi="Calibri"/>
          <w:b/>
          <w:sz w:val="22"/>
          <w:color w:val="222222"/>
        </w:rPr>
        <w:t xml:space="preserve">2 Corinthians 10:3-4</w:t>
      </w:r>
    </w:p>
    <w:p>
      <w:pPr>
        <w:ind w:left="500"/>
        <w:spacing w:before="60" w:after="100"/>
      </w:pPr>
      <w:r>
        <w:rPr>
          <w:rFonts w:ascii="Calibri" w:hAnsi="Calibri"/>
          <w:b/>
          <w:sz w:val="21"/>
          <w:color w:val="1F497D"/>
        </w:rPr>
        <w:t xml:space="preserve">[3] </w:t>
      </w:r>
      <w:r>
        <w:rPr>
          <w:rFonts w:ascii="Calibri" w:hAnsi="Calibri"/>
          <w:sz w:val="21"/>
          <w:color w:val="1B365D"/>
        </w:rPr>
        <w:t xml:space="preserve">For though we walk in the flesh, we do not war after the flesh:</w:t>
      </w:r>
    </w:p>
    <w:p>
      <w:pPr>
        <w:ind w:left="500"/>
        <w:spacing w:before="60" w:after="100"/>
      </w:pPr>
      <w:r>
        <w:rPr>
          <w:rFonts w:ascii="Calibri" w:hAnsi="Calibri"/>
          <w:b/>
          <w:sz w:val="21"/>
          <w:color w:val="1F497D"/>
        </w:rPr>
        <w:t xml:space="preserve">[4] </w:t>
      </w:r>
      <w:r>
        <w:rPr>
          <w:rFonts w:ascii="Calibri" w:hAnsi="Calibri"/>
          <w:sz w:val="21"/>
          <w:color w:val="1B365D"/>
        </w:rPr>
        <w:t xml:space="preserve">(For the weapons of our warfare are not carnal, but mighty through God to the pulling down of strongholds;)</w:t>
      </w:r>
    </w:p>
    <w:p>
      <w:pPr>
        <w:pStyle w:val="Heading2"/>
        <w:spacing w:before="220" w:after="100"/>
      </w:pPr>
      <w:r>
        <w:rPr>
          <w:rFonts w:ascii="Calibri" w:hAnsi="Calibri"/>
          <w:b/>
          <w:sz w:val="28"/>
          <w:color w:val="2C5E8A"/>
        </w:rPr>
        <w:t>The Fullness of Iniquity and the Judgment of Canaan</w:t>
      </w:r>
    </w:p>
    <w:p>
      <w:pPr>
        <w:spacing w:after="140" w:line="276" w:lineRule="auto"/>
      </w:pPr>
      <w:r>
        <w:rPr>
          <w:rFonts w:ascii="Calibri" w:hAnsi="Calibri"/>
          <w:sz w:val="22"/>
          <w:color w:val="222222"/>
        </w:rPr>
        <w:t xml:space="preserve">A common objection to the Old Testament narrative is the accusation that God sanctioned ethnic cleansing, racism, or unprovoked genocide against the Canaanites. Such claims arise from a surface reading of the text that ignores both historical context and divine justice. The Canaanites, historically known as the Amorites, were not innocent bystanders. They were entrenched in profound wickedness, and God's judgment upon them was neither hasty nor based on ethnicity.</w:t>
      </w:r>
    </w:p>
    <w:p>
      <w:pPr>
        <w:spacing w:after="140" w:line="276" w:lineRule="auto"/>
      </w:pPr>
      <w:r>
        <w:rPr>
          <w:rFonts w:ascii="Calibri" w:hAnsi="Calibri"/>
          <w:sz w:val="22"/>
          <w:color w:val="222222"/>
        </w:rPr>
        <w:t xml:space="preserve">In Genesis 15, God told Abraham that his descendants would be in Egypt for over four hundred years because "the iniquity of the Amorites is not yet full." This demonstrates God's immense longsuffering. He waited over four centuries, giving the Canaanite civilization ample time to repent, even while figures like Melchizedek, a priest of the Most High God, operated in their very midst. However, the Canaanites persisted in horrific idolatry. Archaeological discoveries and biblical records detail their practices: incest, bestiality, and the ritualistic burning of their own children to the god Molech. Historical records of Canaanite deities, such as the goddess Anat, depict them as sadistic, bloodthirsty entities whose worship involved unspeakable butchery.</w:t>
      </w:r>
    </w:p>
    <w:p>
      <w:pPr>
        <w:spacing w:after="140" w:line="276" w:lineRule="auto"/>
      </w:pPr>
      <w:r>
        <w:rPr>
          <w:rFonts w:ascii="Calibri" w:hAnsi="Calibri"/>
          <w:sz w:val="22"/>
          <w:color w:val="222222"/>
        </w:rPr>
        <w:t xml:space="preserve">When the Israelites finally entered Canaan, they were executing divine justice upon a society that had reached the absolute zenith of depravity. The wars were not motivated by territorial greed or racial superiority, but by the necessity of eradicating a cancer of bestial idolatry. Furthermore, Israel itself was not immune to this standard of justice. God explicitly warned the Israelites that they were not being given the land because of their own righteousness, but because of the wickedness of the Canaanites. When Israel later fell into the same idolatrous practices, God judged them with equal severity, utilizing the Assyrians and Babylonians to drive them out of the land into exile. God's judgment is impartial; it targets the sin of idolatry, regardless of the ethnicity of the perpetrators.</w:t>
      </w:r>
    </w:p>
    <w:p>
      <w:pPr>
        <w:spacing w:after="140" w:line="276" w:lineRule="auto"/>
      </w:pPr>
      <w:r>
        <w:rPr>
          <w:rFonts w:ascii="Calibri" w:hAnsi="Calibri"/>
          <w:b/>
          <w:sz w:val="22"/>
          <w:color w:val="222222"/>
        </w:rPr>
        <w:t xml:space="preserve">Genesis 15:16</w:t>
      </w:r>
    </w:p>
    <w:p>
      <w:pPr>
        <w:ind w:left="500"/>
        <w:spacing w:before="60" w:after="100"/>
      </w:pPr>
      <w:r>
        <w:rPr>
          <w:rFonts w:ascii="Calibri" w:hAnsi="Calibri"/>
          <w:b/>
          <w:sz w:val="21"/>
          <w:color w:val="1F497D"/>
        </w:rPr>
        <w:t xml:space="preserve">[16] </w:t>
      </w:r>
      <w:r>
        <w:rPr>
          <w:rFonts w:ascii="Calibri" w:hAnsi="Calibri"/>
          <w:sz w:val="21"/>
          <w:color w:val="1B365D"/>
        </w:rPr>
        <w:t xml:space="preserve">But in the fourth generation they shall come hither again: for the iniquity of the Amorites is not yet full.</w:t>
      </w:r>
    </w:p>
    <w:p>
      <w:pPr>
        <w:spacing w:after="140" w:line="276" w:lineRule="auto"/>
      </w:pPr>
      <w:r>
        <w:rPr>
          <w:rFonts w:ascii="Calibri" w:hAnsi="Calibri"/>
          <w:b/>
          <w:sz w:val="22"/>
          <w:color w:val="222222"/>
        </w:rPr>
        <w:t xml:space="preserve">Deuteronomy 9:4</w:t>
      </w:r>
    </w:p>
    <w:p>
      <w:pPr>
        <w:ind w:left="500"/>
        <w:spacing w:before="60" w:after="100"/>
      </w:pPr>
      <w:r>
        <w:rPr>
          <w:rFonts w:ascii="Calibri" w:hAnsi="Calibri"/>
          <w:b/>
          <w:sz w:val="21"/>
          <w:color w:val="1F497D"/>
        </w:rPr>
        <w:t xml:space="preserve">[4] </w:t>
      </w:r>
      <w:r>
        <w:rPr>
          <w:rFonts w:ascii="Calibri" w:hAnsi="Calibri"/>
          <w:sz w:val="21"/>
          <w:color w:val="1B365D"/>
        </w:rPr>
        <w:t xml:space="preserve">Speak not thou in thine heart, after that the LORD thy God hath cast them out from before thee, saying, For my righteousness the LORD hath brought me in to possess this land: but for the wickedness of these nations the LORD doth drive them out from before thee.</w:t>
      </w:r>
    </w:p>
    <w:p>
      <w:pPr>
        <w:pStyle w:val="Heading2"/>
        <w:spacing w:before="220" w:after="100"/>
      </w:pPr>
      <w:r>
        <w:rPr>
          <w:rFonts w:ascii="Calibri" w:hAnsi="Calibri"/>
          <w:b/>
          <w:sz w:val="28"/>
          <w:color w:val="2C5E8A"/>
        </w:rPr>
        <w:t>Grace and the Inclusion of the Gentiles</w:t>
      </w:r>
    </w:p>
    <w:p>
      <w:pPr>
        <w:spacing w:after="140" w:line="276" w:lineRule="auto"/>
      </w:pPr>
      <w:r>
        <w:rPr>
          <w:rFonts w:ascii="Calibri" w:hAnsi="Calibri"/>
          <w:sz w:val="22"/>
          <w:color w:val="222222"/>
        </w:rPr>
        <w:t xml:space="preserve">Far from instituting a system of xenophobia, the Old Testament law explicitly commanded the Israelites to love and protect the stranger and the sojourner. The foundation of Israel's relationship with the rest of the world was the promise to Abraham: "In thee shall all families of the earth be blessed."</w:t>
      </w:r>
    </w:p>
    <w:p>
      <w:pPr>
        <w:spacing w:after="140" w:line="276" w:lineRule="auto"/>
      </w:pPr>
      <w:r>
        <w:rPr>
          <w:rFonts w:ascii="Calibri" w:hAnsi="Calibri"/>
          <w:sz w:val="22"/>
          <w:color w:val="222222"/>
        </w:rPr>
        <w:t xml:space="preserve">Israel's exodus from Egypt included a "mixed multitude" of non-Israelites. The law commanded that the stranger should reap the harvest, find refuge in the cities, and even partake in the Passover if they aligned themselves with Yahweh. We see the profound integration of Gentiles throughout Israel's history—Rahab the Canaanite and Ruth the Moabitess were not only accepted into the congregation but were woven directly into the messianic lineage of Jesus Christ.</w:t>
      </w:r>
    </w:p>
    <w:p>
      <w:pPr>
        <w:spacing w:after="140" w:line="276" w:lineRule="auto"/>
      </w:pPr>
      <w:r>
        <w:rPr>
          <w:rFonts w:ascii="Calibri" w:hAnsi="Calibri"/>
          <w:sz w:val="22"/>
          <w:color w:val="222222"/>
        </w:rPr>
        <w:t xml:space="preserve">When Moses forbade alliances or intermarriage with certain nations, the prohibition was entirely religious, not racial. The concern was that these nations, who had previously hired Balaam to curse Israel and seduce them into idolatry, would turn the hearts of the Israelites away from Yahweh. If a Gentile abandoned their idols to worship the true God, they were fully embraced. God's ultimate goal was never to elevate a single ethnic group over others, but to preserve a lineage and a people through whom the Messiah could enter the world at "the fullness of time."</w:t>
      </w:r>
    </w:p>
    <w:p>
      <w:pPr>
        <w:pStyle w:val="Heading2"/>
        <w:spacing w:before="220" w:after="100"/>
      </w:pPr>
      <w:r>
        <w:rPr>
          <w:rFonts w:ascii="Calibri" w:hAnsi="Calibri"/>
          <w:b/>
          <w:sz w:val="28"/>
          <w:color w:val="2C5E8A"/>
        </w:rPr>
        <w:t>Weakness Overcoming Strength: The True Warfare</w:t>
      </w:r>
    </w:p>
    <w:p>
      <w:pPr>
        <w:spacing w:after="140" w:line="276" w:lineRule="auto"/>
      </w:pPr>
      <w:r>
        <w:rPr>
          <w:rFonts w:ascii="Calibri" w:hAnsi="Calibri"/>
          <w:sz w:val="22"/>
          <w:color w:val="222222"/>
        </w:rPr>
        <w:t xml:space="preserve">Perhaps the most fascinating aspect of Israel's military history is how thoroughly unconventional it was compared to the surrounding nations. Israel was not permitted to have a standing, professional army. Their soldiers were essentially volunteers who were not paid for their service. Furthermore, kings and generals could not unilaterally declare war; they required the authorization of a prophet.</w:t>
      </w:r>
    </w:p>
    <w:p>
      <w:pPr>
        <w:spacing w:after="140" w:line="276" w:lineRule="auto"/>
      </w:pPr>
      <w:r>
        <w:rPr>
          <w:rFonts w:ascii="Calibri" w:hAnsi="Calibri"/>
          <w:sz w:val="22"/>
          <w:color w:val="222222"/>
        </w:rPr>
        <w:t xml:space="preserve">These constraints ensured that Israel's military was often the weakest and most untrained force in the ancient Near East. This was entirely by divine design. God orchestrated these circumstances so that the weak would miraculously overcome the strong, establishing a clear template for the ultimate victory of the cross. When Israel triumphed, it was undeniable that God had fought for them.</w:t>
      </w:r>
    </w:p>
    <w:p>
      <w:pPr>
        <w:spacing w:after="140" w:line="276" w:lineRule="auto"/>
      </w:pPr>
      <w:r>
        <w:rPr>
          <w:rFonts w:ascii="Calibri" w:hAnsi="Calibri"/>
          <w:sz w:val="22"/>
          <w:color w:val="222222"/>
        </w:rPr>
        <w:t xml:space="preserve">Behind the physical clashes of swords and shields, a cosmic spiritual war was being waged. When God brought plagues upon Egypt or caused the walls of Jericho to fall, He was systematically defeating the demonic principalities and powers that enslaved the ancient world. The physical wars of Israel were the inefficient, yet sufficient, temporal means through which God dismantled idolatry and preserved the promise of redemption. Ultimately, this historical framework provided the vocabulary for the New Testament, allowing us to understand that Christ's true victory was not won with carnal weapons, but through the cross, where He made an open show of the spiritual rulers of darkness.</w:t>
      </w:r>
    </w:p>
    <w:p>
      <w:pPr>
        <w:spacing w:after="140" w:line="276" w:lineRule="auto"/>
      </w:pPr>
      <w:r>
        <w:rPr>
          <w:rFonts w:ascii="Calibri" w:hAnsi="Calibri"/>
          <w:b/>
          <w:sz w:val="22"/>
          <w:color w:val="222222"/>
        </w:rPr>
        <w:t xml:space="preserve">Galatians 4:4-5</w:t>
      </w:r>
    </w:p>
    <w:p>
      <w:pPr>
        <w:ind w:left="500"/>
        <w:spacing w:before="60" w:after="100"/>
      </w:pPr>
      <w:r>
        <w:rPr>
          <w:rFonts w:ascii="Calibri" w:hAnsi="Calibri"/>
          <w:b/>
          <w:sz w:val="21"/>
          <w:color w:val="1F497D"/>
        </w:rPr>
        <w:t xml:space="preserve">[4] </w:t>
      </w:r>
      <w:r>
        <w:rPr>
          <w:rFonts w:ascii="Calibri" w:hAnsi="Calibri"/>
          <w:sz w:val="21"/>
          <w:color w:val="1B365D"/>
        </w:rPr>
        <w:t xml:space="preserve">But when the fulness of the time was come, God sent forth his Son, made of a woman, made under the law,</w:t>
      </w:r>
    </w:p>
    <w:p>
      <w:pPr>
        <w:ind w:left="500"/>
        <w:spacing w:before="60" w:after="100"/>
      </w:pPr>
      <w:r>
        <w:rPr>
          <w:rFonts w:ascii="Calibri" w:hAnsi="Calibri"/>
          <w:b/>
          <w:sz w:val="21"/>
          <w:color w:val="1F497D"/>
        </w:rPr>
        <w:t xml:space="preserve">[5] </w:t>
      </w:r>
      <w:r>
        <w:rPr>
          <w:rFonts w:ascii="Calibri" w:hAnsi="Calibri"/>
          <w:sz w:val="21"/>
          <w:color w:val="1B365D"/>
        </w:rPr>
        <w:t xml:space="preserve">To redeem them that were under the law, that we might receive the adoption of sons.</w:t>
      </w:r>
    </w:p>
    <w:p>
      <w:pPr>
        <w:spacing w:after="140" w:line="276" w:lineRule="auto"/>
      </w:pPr>
      <w:r>
        <w:rPr>
          <w:rFonts w:ascii="Calibri" w:hAnsi="Calibri"/>
          <w:b/>
          <w:sz w:val="22"/>
          <w:color w:val="222222"/>
        </w:rPr>
        <w:t xml:space="preserve">Colossians 2:15</w:t>
      </w:r>
    </w:p>
    <w:p>
      <w:pPr>
        <w:ind w:left="500"/>
        <w:spacing w:before="60" w:after="100"/>
      </w:pPr>
      <w:r>
        <w:rPr>
          <w:rFonts w:ascii="Calibri" w:hAnsi="Calibri"/>
          <w:b/>
          <w:sz w:val="21"/>
          <w:color w:val="1F497D"/>
        </w:rPr>
        <w:t xml:space="preserve">[15] </w:t>
      </w:r>
      <w:r>
        <w:rPr>
          <w:rFonts w:ascii="Calibri" w:hAnsi="Calibri"/>
          <w:sz w:val="21"/>
          <w:color w:val="1B365D"/>
        </w:rPr>
        <w:t xml:space="preserve">And having spoiled principalities and powers, he made a shew of them openly, triumphing over them in 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