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11</w:t>
      </w:r>
    </w:p>
    <w:p>
      <w:pPr>
        <w:spacing w:after="360"/>
        <w:jc w:val="center"/>
      </w:pPr>
      <w:r>
        <w:rPr>
          <w:b/>
          <w:bCs/>
          <w:sz w:val="32"/>
          <w:szCs w:val="32"/>
        </w:rPr>
        <w:t xml:space="preserve">"The Life of the Age to Come": Recovering the Old Testament behind New Testament Words</w:t>
      </w:r>
    </w:p>
    <w:p>
      <w:pPr>
        <w:spacing w:after="200" w:before="360"/>
      </w:pPr>
      <w:r>
        <w:rPr>
          <w:b/>
          <w:bCs/>
          <w:sz w:val="26"/>
          <w:szCs w:val="26"/>
        </w:rPr>
        <w:t xml:space="preserve">Recapitulation: Multi-Layered but Non-Contradictory Meaning</w:t>
      </w:r>
    </w:p>
    <w:p>
      <w:pPr>
        <w:spacing w:after="200"/>
        <w:ind w:firstLine="432"/>
        <w:jc w:val="both"/>
      </w:pPr>
      <w:r>
        <w:rPr>
          <w:sz w:val="24"/>
          <w:szCs w:val="24"/>
        </w:rPr>
        <w:t xml:space="preserve">Having examined how a single text — the fig tree and the mountain in Mark 11, or the question of head coverings in First Corinthians 11 — can carry more than one coherent layer of meaning without those layers contradicting one another, the same discipline must now be applied to some of the most commonly abused words in the New Testament: righteousness, eternal life, and the relationship of the Old Testament to the New.</w:t>
      </w:r>
    </w:p>
    <w:p>
      <w:pPr>
        <w:spacing w:after="200" w:before="360"/>
      </w:pPr>
      <w:r>
        <w:rPr>
          <w:b/>
          <w:bCs/>
          <w:sz w:val="26"/>
          <w:szCs w:val="26"/>
        </w:rPr>
        <w:t xml:space="preserve">Righteousness Revisited: A Threefold Pattern in Abraham</w:t>
      </w:r>
    </w:p>
    <w:p>
      <w:pPr>
        <w:spacing w:after="200"/>
        <w:ind w:firstLine="432"/>
        <w:jc w:val="both"/>
      </w:pPr>
      <w:r>
        <w:rPr>
          <w:sz w:val="24"/>
          <w:szCs w:val="24"/>
        </w:rPr>
        <w:t xml:space="preserve">Abraham was declared righteous by believing God (Genesis 15:6); called righteous, further, in his resolve to "do justice and judgment" (Genesis 18:19); and shown righteous in the demonstrated obedience of Genesis 22. Belief, right action, and right giving are not three different righteousnesses but three facets of the same Hebrew </w:t>
      </w:r>
      <w:r>
        <w:rPr>
          <w:i/>
          <w:iCs/>
          <w:sz w:val="24"/>
          <w:szCs w:val="24"/>
        </w:rPr>
        <w:t xml:space="preserve">tzedakah</w:t>
      </w:r>
      <w:r>
        <w:rPr>
          <w:sz w:val="24"/>
          <w:szCs w:val="24"/>
        </w:rPr>
        <w:t xml:space="preserve"> — a wholeness lost when righteousness is treated only as a legal transaction in which guilt is simply set aside, rather than as something rooted, from the outset, in a promise still being worked out.</w:t>
      </w:r>
    </w:p>
    <w:p>
      <w:pPr>
        <w:spacing w:after="200" w:before="360"/>
      </w:pPr>
      <w:r>
        <w:rPr>
          <w:b/>
          <w:bCs/>
          <w:sz w:val="26"/>
          <w:szCs w:val="26"/>
        </w:rPr>
        <w:t xml:space="preserve">"Eternal Life": Recovering "The Life of the Age to Come"</w:t>
      </w:r>
    </w:p>
    <w:p>
      <w:pPr>
        <w:spacing w:after="200"/>
        <w:ind w:firstLine="432"/>
        <w:jc w:val="both"/>
      </w:pPr>
      <w:r>
        <w:rPr>
          <w:sz w:val="24"/>
          <w:szCs w:val="24"/>
        </w:rPr>
        <w:t xml:space="preserve">The word "eternal," in the phrase "eternal life," rests on a Greek word, </w:t>
      </w:r>
      <w:r>
        <w:rPr>
          <w:i/>
          <w:iCs/>
          <w:sz w:val="24"/>
          <w:szCs w:val="24"/>
        </w:rPr>
        <w:t xml:space="preserve">aiōn</w:t>
      </w:r>
      <w:r>
        <w:rPr>
          <w:sz w:val="24"/>
          <w:szCs w:val="24"/>
        </w:rPr>
        <w:t xml:space="preserve">, that denotes an age, not endlessness as such — set alongside </w:t>
      </w:r>
      <w:r>
        <w:rPr>
          <w:i/>
          <w:iCs/>
          <w:sz w:val="24"/>
          <w:szCs w:val="24"/>
        </w:rPr>
        <w:t xml:space="preserve">kosmos</w:t>
      </w:r>
      <w:r>
        <w:rPr>
          <w:sz w:val="24"/>
          <w:szCs w:val="24"/>
        </w:rPr>
        <w:t xml:space="preserve">, an ordered arrangement of things (compare Romans 5:12; Hebrews 11:3, "the worlds were framed by the word of God"). Scripture speaks of two ages running concurrently: the present age, ruled by "the prince of the power of the air" (Ephesians 2:2) or "the god of this world" (2 Corinthians 4:4), and "the age to come."</w:t>
      </w:r>
    </w:p>
    <w:p>
      <w:pPr>
        <w:spacing w:after="0" w:before="200"/>
      </w:pPr>
      <w:r>
        <w:rPr>
          <w:b/>
          <w:bCs/>
          <w:sz w:val="24"/>
          <w:szCs w:val="24"/>
        </w:rPr>
        <w:t xml:space="preserve">Hebrews 9:26</w:t>
      </w:r>
    </w:p>
    <w:p>
      <w:pPr>
        <w:spacing w:after="0"/>
        <w:ind w:left="432"/>
      </w:pPr>
      <w:r>
        <w:rPr>
          <w:sz w:val="24"/>
          <w:szCs w:val="24"/>
        </w:rPr>
        <w:t xml:space="preserve">[26]...but now once in the end of the world hath he appeared to put away sin by the sacrifice of himself.</w:t>
      </w:r>
    </w:p>
    <w:p>
      <w:pPr>
        <w:spacing w:after="0" w:before="200"/>
      </w:pPr>
      <w:r>
        <w:rPr>
          <w:b/>
          <w:bCs/>
          <w:sz w:val="24"/>
          <w:szCs w:val="24"/>
        </w:rPr>
        <w:t xml:space="preserve">Ephesians 1:10</w:t>
      </w:r>
    </w:p>
    <w:p>
      <w:pPr>
        <w:spacing w:after="0"/>
        <w:ind w:left="432"/>
      </w:pPr>
      <w:r>
        <w:rPr>
          <w:sz w:val="24"/>
          <w:szCs w:val="24"/>
        </w:rPr>
        <w:t xml:space="preserve">[10]That in the dispensation of the fulness of times he might gather together in one all things in Christ...</w:t>
      </w:r>
    </w:p>
    <w:p>
      <w:pPr>
        <w:spacing w:after="200"/>
        <w:ind w:firstLine="432"/>
        <w:jc w:val="both"/>
      </w:pPr>
      <w:r>
        <w:rPr>
          <w:sz w:val="24"/>
          <w:szCs w:val="24"/>
        </w:rPr>
        <w:t xml:space="preserve">"Eternal life," then, is better rendered "the life of the age to come" — the life proper to the promised, coming age, already present wherever the Spirit of that age is at work. This is why an Old Testament instruction such as "keep this statute forever" functions, at the time it is spoken, as a kind of prophecy: it points to an age not yet arrived, even while Israel stood in the promised land it already occupied (compare Genesis 3:22, the tree of life associated with living "for ever").</w:t>
      </w:r>
    </w:p>
    <w:p>
      <w:pPr>
        <w:spacing w:after="0" w:before="200"/>
      </w:pPr>
      <w:r>
        <w:rPr>
          <w:b/>
          <w:bCs/>
          <w:sz w:val="24"/>
          <w:szCs w:val="24"/>
        </w:rPr>
        <w:t xml:space="preserve">Galatians 6:8</w:t>
      </w:r>
    </w:p>
    <w:p>
      <w:pPr>
        <w:spacing w:after="0"/>
        <w:ind w:left="432"/>
      </w:pPr>
      <w:r>
        <w:rPr>
          <w:sz w:val="24"/>
          <w:szCs w:val="24"/>
        </w:rPr>
        <w:t xml:space="preserve">[8]For he that soweth to his flesh shall of the flesh reap corruption; but he that soweth to the Spirit shall of the Spirit reap life everlasting.</w:t>
      </w:r>
    </w:p>
    <w:p>
      <w:pPr>
        <w:spacing w:after="200"/>
        <w:ind w:firstLine="432"/>
        <w:jc w:val="both"/>
      </w:pPr>
      <w:r>
        <w:rPr>
          <w:sz w:val="24"/>
          <w:szCs w:val="24"/>
        </w:rPr>
        <w:t xml:space="preserve">To sow to the Spirit is to reap the life of that promised age already, in the present — which is why Paul can speak of two ages, the flesh and the Spirit, running concurrently in the same present moment, exactly as the Old Testament anticipated.</w:t>
      </w:r>
    </w:p>
    <w:p>
      <w:pPr>
        <w:spacing w:after="200" w:before="360"/>
      </w:pPr>
      <w:r>
        <w:rPr>
          <w:b/>
          <w:bCs/>
          <w:sz w:val="26"/>
          <w:szCs w:val="26"/>
        </w:rPr>
        <w:t xml:space="preserve">The Spirit's "Conviction": A Word Requiring Careful Handling</w:t>
      </w:r>
    </w:p>
    <w:p>
      <w:pPr>
        <w:spacing w:after="0" w:before="200"/>
      </w:pPr>
      <w:r>
        <w:rPr>
          <w:b/>
          <w:bCs/>
          <w:sz w:val="24"/>
          <w:szCs w:val="24"/>
        </w:rPr>
        <w:t xml:space="preserve">John 16:8</w:t>
      </w:r>
    </w:p>
    <w:p>
      <w:pPr>
        <w:spacing w:after="0"/>
        <w:ind w:left="432"/>
      </w:pPr>
      <w:r>
        <w:rPr>
          <w:sz w:val="24"/>
          <w:szCs w:val="24"/>
        </w:rPr>
        <w:t xml:space="preserve">[8]And when he is come, he will reprove the world of sin, and of righteousness, and of judgment:</w:t>
      </w:r>
    </w:p>
    <w:p>
      <w:pPr>
        <w:spacing w:after="200"/>
        <w:ind w:firstLine="432"/>
        <w:jc w:val="both"/>
      </w:pPr>
      <w:r>
        <w:rPr>
          <w:sz w:val="24"/>
          <w:szCs w:val="24"/>
        </w:rPr>
        <w:t xml:space="preserve">The Greek </w:t>
      </w:r>
      <w:r>
        <w:rPr>
          <w:i/>
          <w:iCs/>
          <w:sz w:val="24"/>
          <w:szCs w:val="24"/>
        </w:rPr>
        <w:t xml:space="preserve">elenchō</w:t>
      </w:r>
      <w:r>
        <w:rPr>
          <w:sz w:val="24"/>
          <w:szCs w:val="24"/>
        </w:rPr>
        <w:t xml:space="preserve">, rendered "reprove" or, in some versions, "convict," is a courtroom term meaning to furnish evidence, whether for conviction or for acquittal; in the King James translators' own usage, "convict" meant simply to prick the conscience, not necessarily to condemn. Because the same word can describe a conscience pricked toward belief or a conscience left in unbelief and thereby self-condemned (compare John 20:23; John 3:18), a responsible teacher does better to unpack the word than to rely on any single modern English equivalent, tracing its narrative back through Deuteronomy 28-30's choice of life and death, Genesis 2:16-17, and Isaiah's appeals to "hear" and "believe" (Isaiah 1:18-19; 53:1).</w:t>
      </w:r>
    </w:p>
    <w:p>
      <w:pPr>
        <w:spacing w:after="200" w:before="360"/>
      </w:pPr>
      <w:r>
        <w:rPr>
          <w:b/>
          <w:bCs/>
          <w:sz w:val="26"/>
          <w:szCs w:val="26"/>
        </w:rPr>
        <w:t xml:space="preserve">Scripture Is a Book That Intends to Be Believed</w:t>
      </w:r>
    </w:p>
    <w:p>
      <w:pPr>
        <w:spacing w:after="200"/>
        <w:ind w:firstLine="432"/>
        <w:jc w:val="both"/>
      </w:pPr>
      <w:r>
        <w:rPr>
          <w:sz w:val="24"/>
          <w:szCs w:val="24"/>
        </w:rPr>
        <w:t xml:space="preserve">A twentieth-century New Testament scholar observed, in effect, that the New Testament confronts its reader with the demand to be believed, and thereby rules out any pretense of neutral, disinterested treatment; to bracket out the question of faith and study the text merely as one historical artifact among others is already a polemic against what the text itself claims to be. Scripture's purpose, throughout, is theological — to bring its reader to see and believe the unseen God — and every teacher of Scripture, whether acknowledged as such or not, functions as a theologian the moment he takes up the task of explaining it.</w:t>
      </w:r>
    </w:p>
    <w:p>
      <w:pPr>
        <w:spacing w:after="200" w:before="360"/>
      </w:pPr>
      <w:r>
        <w:rPr>
          <w:b/>
          <w:bCs/>
          <w:sz w:val="26"/>
          <w:szCs w:val="26"/>
        </w:rPr>
        <w:t xml:space="preserve">Rejecting the Dichotomy between "Old Testament" and "New Testament"</w:t>
      </w:r>
    </w:p>
    <w:p>
      <w:pPr>
        <w:spacing w:after="200"/>
        <w:ind w:firstLine="432"/>
        <w:jc w:val="both"/>
      </w:pPr>
      <w:r>
        <w:rPr>
          <w:sz w:val="24"/>
          <w:szCs w:val="24"/>
        </w:rPr>
        <w:t xml:space="preserve">A recurring error treats the Old and New Testaments as though they represented two different dispensations, two different Gods, or two bodies of writing where one has simply superseded the other — the Old Testament being "law," the New "grace," as though the Old Testament congregation bore responsibility for its sins that the New Testament congregation no longer bears. Yet neither Testament, strictly speaking, was written directly "to" today's reader any more than to any other reader outside its own original audience; Paul's letters were addressed to Corinth or Rome, not to a reader thousands of years later, and the New Testament writers themselves never described their own writings by the later technical term "New Testament Scriptures." Every letter has an audience of its own moment, without thereby losing its address to every subsequent believer who shares its faith.</w:t>
      </w:r>
    </w:p>
    <w:p>
      <w:pPr>
        <w:spacing w:after="200"/>
        <w:ind w:firstLine="432"/>
        <w:jc w:val="both"/>
      </w:pPr>
      <w:r>
        <w:rPr>
          <w:sz w:val="24"/>
          <w:szCs w:val="24"/>
        </w:rPr>
        <w:t xml:space="preserve">If Jesus came chiefly "to correct a wrong impression of God" left by the Old Testament, this would imply that unbelief itself had a legitimate basis — a conclusion the New Testament writers never draw. Rather than discarding Moses, Jesus consistently reinforces him (compare his treatment of John the Baptist's doubts in Matthew 11:2-3, where Jesus in no way invalidates John even after John's own uncertainty). The task of the New Testament writer, exactly like the task facing any responsible teacher today, was to carry Moses' own theology into a different world — a largely Gentile audience, a Greek vocabulary, a Roman social order — without changing the theology itself, only its grammar and application.</w:t>
      </w:r>
    </w:p>
    <w:p>
      <w:pPr>
        <w:spacing w:after="200"/>
        <w:ind w:firstLine="432"/>
        <w:jc w:val="both"/>
      </w:pPr>
      <w:r>
        <w:rPr>
          <w:sz w:val="24"/>
          <w:szCs w:val="24"/>
        </w:rPr>
        <w:t xml:space="preserve">This is why an inconsistent reading — "under the Old Testament you could take an eye for an eye, but under the New Testament you must turn the other cheek" (compare Matthew 5:38-39) — misrepresents the actual relationship: it is not that God changed his mind partway through human history while people were dying under an earlier, harsher standard, but that the same theology has always applied a single principle of proportionate justice, applied differently to a different world. What must remain consistent, across every world the text touches, is theology; grammar, vocabulary, and application are free to change with the audience.</w:t>
      </w:r>
    </w:p>
    <w:p>
      <w:pPr>
        <w:spacing w:after="200" w:before="360"/>
      </w:pPr>
      <w:r>
        <w:rPr>
          <w:b/>
          <w:bCs/>
          <w:sz w:val="26"/>
          <w:szCs w:val="26"/>
        </w:rPr>
        <w:t xml:space="preserve">Recovering the Exodus Narrative behind Key New Testament Terms</w:t>
      </w:r>
    </w:p>
    <w:p>
      <w:pPr>
        <w:spacing w:after="200"/>
        <w:ind w:firstLine="432"/>
        <w:jc w:val="both"/>
      </w:pPr>
      <w:r>
        <w:rPr>
          <w:sz w:val="24"/>
          <w:szCs w:val="24"/>
        </w:rPr>
        <w:t xml:space="preserve">A term such as "redemption" carries, behind it, the entire narrative of a kinsman-redeemer reclaiming what belonged to his family — a category from Israel's own world, not a commercial transaction as such, even though it borrows commercial vocabulary to make itself intelligible to a Gentile audience accustomed to trade and commerce. "Son," likewise, when applied to Israel or to Jesus, does not primarily denote birth as such but inheritance — the same category at work in Egyptian succession, where the son inherits the throne and its promises. This is why John, writing of Jesus as "the only begotten Son" (Greek </w:t>
      </w:r>
      <w:r>
        <w:rPr>
          <w:i/>
          <w:iCs/>
          <w:sz w:val="24"/>
          <w:szCs w:val="24"/>
        </w:rPr>
        <w:t xml:space="preserve">monogenēs</w:t>
      </w:r>
      <w:r>
        <w:rPr>
          <w:sz w:val="24"/>
          <w:szCs w:val="24"/>
        </w:rPr>
        <w:t xml:space="preserve">), reserves this precise term for Christ's unique origin while using a different word, </w:t>
      </w:r>
      <w:r>
        <w:rPr>
          <w:i/>
          <w:iCs/>
          <w:sz w:val="24"/>
          <w:szCs w:val="24"/>
        </w:rPr>
        <w:t xml:space="preserve">teknon</w:t>
      </w:r>
      <w:r>
        <w:rPr>
          <w:sz w:val="24"/>
          <w:szCs w:val="24"/>
        </w:rPr>
        <w:t xml:space="preserve">, "child," for believers — inheritance, not physical birth, being the operative category throughout (compare Galatians 4:1-7, where being "under the law" recalls a minor child kept under guardians until the time appointed by his father, prior to receiving the inheritance).</w:t>
      </w:r>
    </w:p>
    <w:p>
      <w:pPr>
        <w:spacing w:after="0" w:before="200"/>
      </w:pPr>
      <w:r>
        <w:rPr>
          <w:b/>
          <w:bCs/>
          <w:sz w:val="24"/>
          <w:szCs w:val="24"/>
        </w:rPr>
        <w:t xml:space="preserve">Romans 8:12-13</w:t>
      </w:r>
    </w:p>
    <w:p>
      <w:pPr>
        <w:spacing w:after="0"/>
        <w:ind w:left="432"/>
      </w:pPr>
      <w:r>
        <w:rPr>
          <w:sz w:val="24"/>
          <w:szCs w:val="24"/>
        </w:rPr>
        <w:t xml:space="preserve">[12]Therefore, brethren, we are debtors, not to the flesh, to live after the flesh.</w:t>
      </w:r>
    </w:p>
    <w:p>
      <w:pPr>
        <w:spacing w:after="0"/>
        <w:ind w:left="432"/>
      </w:pPr>
      <w:r>
        <w:rPr>
          <w:sz w:val="24"/>
          <w:szCs w:val="24"/>
        </w:rPr>
        <w:t xml:space="preserve">[13]For if ye live after the flesh, ye shall die: but if ye through the Spirit do mortify the deeds of the body, ye shall live.</w:t>
      </w:r>
    </w:p>
    <w:p>
      <w:pPr>
        <w:spacing w:after="200"/>
        <w:ind w:firstLine="432"/>
        <w:jc w:val="both"/>
      </w:pPr>
      <w:r>
        <w:rPr>
          <w:sz w:val="24"/>
          <w:szCs w:val="24"/>
        </w:rPr>
        <w:t xml:space="preserve">Terms such as "body," "flesh," and "put to death" (compare Romans 6:6) likewise carry an Exodus-shaped narrative behind them — the destruction of the firstborn, the crossing of the Red Sea, the mortification of what belongs to the old order rather than the new — and cannot be properly unpacked without that background in view.</w:t>
      </w:r>
    </w:p>
    <w:p>
      <w:pPr>
        <w:spacing w:after="200" w:before="360"/>
      </w:pPr>
      <w:r>
        <w:rPr>
          <w:b/>
          <w:bCs/>
          <w:sz w:val="26"/>
          <w:szCs w:val="26"/>
        </w:rPr>
        <w:t xml:space="preserve">The Prophets and the Epistles Share a Common Introductory Form</w:t>
      </w:r>
    </w:p>
    <w:p>
      <w:pPr>
        <w:spacing w:after="200"/>
        <w:ind w:firstLine="432"/>
        <w:jc w:val="both"/>
      </w:pPr>
      <w:r>
        <w:rPr>
          <w:sz w:val="24"/>
          <w:szCs w:val="24"/>
        </w:rPr>
        <w:t xml:space="preserve">The characteristic opening of Paul's letters — "Paul, an apostle of Jesus Christ... grace and peace from God" — follows the same pattern found throughout the prophets: "The word of the Lord that came unto..." (compare Isaiah 1:1-2; Jeremiah 1:2; Ezekiel 1:1, 3; Hosea 1:1-2; Amos 1:1, 3; Obadiah 1; Jonah 1:1; Micah 1:1; Habakkuk 1:1-2; Zephaniah 1:1; Haggai 1:1; Zechariah 1:1; Malachi 1:1).</w:t>
      </w:r>
    </w:p>
    <w:p>
      <w:pPr>
        <w:spacing w:after="0" w:before="200"/>
      </w:pPr>
      <w:r>
        <w:rPr>
          <w:b/>
          <w:bCs/>
          <w:sz w:val="24"/>
          <w:szCs w:val="24"/>
        </w:rPr>
        <w:t xml:space="preserve">Hebrews 1:1-2</w:t>
      </w:r>
    </w:p>
    <w:p>
      <w:pPr>
        <w:spacing w:after="0"/>
        <w:ind w:left="432"/>
      </w:pPr>
      <w:r>
        <w:rPr>
          <w:sz w:val="24"/>
          <w:szCs w:val="24"/>
        </w:rPr>
        <w:t xml:space="preserve">[1]God, who at sundry times and in divers manners spake in time past unto the fathers by the prophets,</w:t>
      </w:r>
    </w:p>
    <w:p>
      <w:pPr>
        <w:spacing w:after="0"/>
        <w:ind w:left="432"/>
      </w:pPr>
      <w:r>
        <w:rPr>
          <w:sz w:val="24"/>
          <w:szCs w:val="24"/>
        </w:rPr>
        <w:t xml:space="preserve">[2]Hath in these last days spoken unto us by his Son...</w:t>
      </w:r>
    </w:p>
    <w:p>
      <w:pPr>
        <w:spacing w:after="200"/>
        <w:ind w:firstLine="432"/>
        <w:jc w:val="both"/>
      </w:pPr>
      <w:r>
        <w:rPr>
          <w:sz w:val="24"/>
          <w:szCs w:val="24"/>
        </w:rPr>
        <w:t xml:space="preserve">The consistency of this introductory form across both Testaments is itself a mark of continuity, not rupture — a single divine "word," addressed in different times, through different messengers, to different immediate audiences, yet aimed throughout at the same end: to reprove, to convince, and to judge, precisely what the epistles likewise set out to do.</w:t>
      </w:r>
    </w:p>
    <w:p>
      <w:pPr>
        <w:spacing w:after="200" w:before="360"/>
      </w:pPr>
      <w:r>
        <w:rPr>
          <w:b/>
          <w:bCs/>
          <w:sz w:val="26"/>
          <w:szCs w:val="26"/>
        </w:rPr>
        <w:t xml:space="preserve">History and Theology Cannot Be Separated</w:t>
      </w:r>
    </w:p>
    <w:p>
      <w:pPr>
        <w:spacing w:after="200"/>
        <w:ind w:firstLine="432"/>
        <w:jc w:val="both"/>
      </w:pPr>
      <w:r>
        <w:rPr>
          <w:sz w:val="24"/>
          <w:szCs w:val="24"/>
        </w:rPr>
        <w:t xml:space="preserve">History without theology misuses the Bible by treating it as a merely secular record; theology without history teaches truths outside the context that gives them meaning. Neither the epistles nor the history of Israel can be properly taught in isolation from the other — the epistles were written from within, and in continual reference to, the history and theology of the Old Testament, even though addressed to a specific first-century audience rather than to the reader of any later century directly.</w:t>
      </w:r>
    </w:p>
    <w:p>
      <w:pPr>
        <w:spacing w:after="200"/>
        <w:ind w:firstLine="432"/>
        <w:jc w:val="both"/>
      </w:pPr>
      <w:r>
        <w:rPr>
          <w:sz w:val="24"/>
          <w:szCs w:val="24"/>
        </w:rPr>
        <w:t xml:space="preserve">"Circumcision," for example, denotes, on the surface, a specific physical practice, yet Moses himself already directs Israel to "circumcise your heart" — the physical rite standing throughout for an inward reality, so that Paul's later discussion of circumcision cannot be rightly read without this Old Testament background already in view. The same is true of table fellowship: when the Gospels describe Jesus "eating with sinners," or Peter accused of eating "with the Gentiles" at Cornelius's house, the issue is not dietary but relational — table fellowship, in Israel's world, signified family identification, which is why Paul's instruction concerning the Lord's Supper in First Corinthians 11 turns on whether believers wait for and share with one another, not on the ritual mechanics of bread and wine as such.</w:t>
      </w:r>
    </w:p>
    <w:p>
      <w:pPr>
        <w:spacing w:after="200" w:before="360"/>
      </w:pPr>
      <w:r>
        <w:rPr>
          <w:b/>
          <w:bCs/>
          <w:sz w:val="26"/>
          <w:szCs w:val="26"/>
        </w:rPr>
        <w:t xml:space="preserve">Moses as an Educated Interpreter of an Existing Oral Tradition</w:t>
      </w:r>
    </w:p>
    <w:p>
      <w:pPr>
        <w:spacing w:after="200"/>
        <w:ind w:firstLine="432"/>
        <w:jc w:val="both"/>
      </w:pPr>
      <w:r>
        <w:rPr>
          <w:sz w:val="24"/>
          <w:szCs w:val="24"/>
        </w:rPr>
        <w:t xml:space="preserve">The Hebrew oral tradition, passed within families, preserved knowledge of God's promises long before Moses wrote anything down (compare Genesis 26:5); Moses' own education in Egypt, however, supplied him with the literary, academic, and rhetorical tools of a genuinely trained culture — not a Bible school, since none existed, but the best available intellectual culture of his day. Moses therefore recast an inherited oral tradition using categories borrowed from Egyptian and near-Eastern culture generally, precisely as any translator must use the vocabulary already available to a given audience: the creation narrative's use of "seed," sun, moon, and stars, all of which were already invested with meaning, sometimes idolatrous meaning, before Moses used them to tell a very different story.</w:t>
      </w:r>
    </w:p>
    <w:p>
      <w:pPr>
        <w:spacing w:after="0" w:before="200"/>
      </w:pPr>
      <w:r>
        <w:rPr>
          <w:b/>
          <w:bCs/>
          <w:sz w:val="24"/>
          <w:szCs w:val="24"/>
        </w:rPr>
        <w:t xml:space="preserve">Genesis 2:18</w:t>
      </w:r>
    </w:p>
    <w:p>
      <w:pPr>
        <w:spacing w:after="0"/>
        <w:ind w:left="432"/>
      </w:pPr>
      <w:r>
        <w:rPr>
          <w:sz w:val="24"/>
          <w:szCs w:val="24"/>
        </w:rPr>
        <w:t xml:space="preserve">[18]...I will make him an help meet for him.</w:t>
      </w:r>
    </w:p>
    <w:p>
      <w:pPr>
        <w:spacing w:after="200"/>
        <w:ind w:firstLine="432"/>
        <w:jc w:val="both"/>
      </w:pPr>
      <w:r>
        <w:rPr>
          <w:sz w:val="24"/>
          <w:szCs w:val="24"/>
        </w:rPr>
        <w:t xml:space="preserve">The Hebrew </w:t>
      </w:r>
      <w:r>
        <w:rPr>
          <w:i/>
          <w:iCs/>
          <w:sz w:val="24"/>
          <w:szCs w:val="24"/>
        </w:rPr>
        <w:t xml:space="preserve">ezer</w:t>
      </w:r>
      <w:r>
        <w:rPr>
          <w:sz w:val="24"/>
          <w:szCs w:val="24"/>
        </w:rPr>
        <w:t xml:space="preserve">, "helper," used here of the woman, is elsewhere reserved almost exclusively for God himself as deliverer — showing that the marriage relationship Moses describes was never meant to convey mere domestic assistance, but rescue and deliverance, the same picture later used of God's relationship to Israel after the Exodus.</w:t>
      </w:r>
    </w:p>
    <w:p>
      <w:pPr>
        <w:spacing w:after="200" w:before="360"/>
      </w:pPr>
      <w:r>
        <w:rPr>
          <w:b/>
          <w:bCs/>
          <w:sz w:val="26"/>
          <w:szCs w:val="26"/>
        </w:rPr>
        <w:t xml:space="preserve">The Book of Job: Reading Poetic Imagery as Imagery</w:t>
      </w:r>
    </w:p>
    <w:p>
      <w:pPr>
        <w:spacing w:after="200"/>
        <w:ind w:firstLine="432"/>
        <w:jc w:val="both"/>
      </w:pPr>
      <w:r>
        <w:rPr>
          <w:sz w:val="24"/>
          <w:szCs w:val="24"/>
        </w:rPr>
        <w:t xml:space="preserve">The book of Job — plausibly, on grounds of its style, the earliest Old Testament writing, and quite possibly by the same author as Genesis — is composed largely in poetry: prologue, epilogue, and an extended cycle of dialogue and rhetorical speech. Its picture of Satan and God in conversation (Job 1-2) functions as a literary device conveying spiritual realities, not a transcript of an actual exchange overheard by any human witness — a pattern comparable to the Gospels' account of Satan's temptation of Jesus, itself conveyed through images rather than a court reporter's record.</w:t>
      </w:r>
    </w:p>
    <w:p>
      <w:pPr>
        <w:spacing w:after="0" w:before="200"/>
      </w:pPr>
      <w:r>
        <w:rPr>
          <w:b/>
          <w:bCs/>
          <w:sz w:val="24"/>
          <w:szCs w:val="24"/>
        </w:rPr>
        <w:t xml:space="preserve">Job 37:23-24</w:t>
      </w:r>
    </w:p>
    <w:p>
      <w:pPr>
        <w:spacing w:after="0"/>
        <w:ind w:left="432"/>
      </w:pPr>
      <w:r>
        <w:rPr>
          <w:sz w:val="24"/>
          <w:szCs w:val="24"/>
        </w:rPr>
        <w:t xml:space="preserve">[23]Touching the Almighty, we cannot find him out: he is excellent in power, and in judgment, and in plenty of justice: he will not afflict.</w:t>
      </w:r>
    </w:p>
    <w:p>
      <w:pPr>
        <w:spacing w:after="0"/>
        <w:ind w:left="432"/>
      </w:pPr>
      <w:r>
        <w:rPr>
          <w:sz w:val="24"/>
          <w:szCs w:val="24"/>
        </w:rPr>
        <w:t xml:space="preserve">[24]Men do therefore fear him: he respecteth not any that are wise of heart.</w:t>
      </w:r>
    </w:p>
    <w:p>
      <w:pPr>
        <w:spacing w:after="0" w:before="200"/>
      </w:pPr>
      <w:r>
        <w:rPr>
          <w:b/>
          <w:bCs/>
          <w:sz w:val="24"/>
          <w:szCs w:val="24"/>
        </w:rPr>
        <w:t xml:space="preserve">Job 38:1-4</w:t>
      </w:r>
    </w:p>
    <w:p>
      <w:pPr>
        <w:spacing w:after="0"/>
        <w:ind w:left="432"/>
      </w:pPr>
      <w:r>
        <w:rPr>
          <w:sz w:val="24"/>
          <w:szCs w:val="24"/>
        </w:rPr>
        <w:t xml:space="preserve">[1]Then the Lord answered Job out of the whirlwind, and said,</w:t>
      </w:r>
    </w:p>
    <w:p>
      <w:pPr>
        <w:spacing w:after="0"/>
        <w:ind w:left="432"/>
      </w:pPr>
      <w:r>
        <w:rPr>
          <w:sz w:val="24"/>
          <w:szCs w:val="24"/>
        </w:rPr>
        <w:t xml:space="preserve">[2]Who is this that darkeneth counsel by words without knowledge?</w:t>
      </w:r>
    </w:p>
    <w:p>
      <w:pPr>
        <w:spacing w:after="0"/>
        <w:ind w:left="432"/>
      </w:pPr>
      <w:r>
        <w:rPr>
          <w:sz w:val="24"/>
          <w:szCs w:val="24"/>
        </w:rPr>
        <w:t xml:space="preserve">[3]Gird up now thy loins like a man; for I will demand of thee, and answer thou me.</w:t>
      </w:r>
    </w:p>
    <w:p>
      <w:pPr>
        <w:spacing w:after="0"/>
        <w:ind w:left="432"/>
      </w:pPr>
      <w:r>
        <w:rPr>
          <w:sz w:val="24"/>
          <w:szCs w:val="24"/>
        </w:rPr>
        <w:t xml:space="preserve">[4]Where wast thou when I laid the foundations of the earth? declare, if thou hast understanding.</w:t>
      </w:r>
    </w:p>
    <w:p>
      <w:pPr>
        <w:spacing w:after="200"/>
        <w:ind w:firstLine="432"/>
        <w:jc w:val="both"/>
      </w:pPr>
      <w:r>
        <w:rPr>
          <w:sz w:val="24"/>
          <w:szCs w:val="24"/>
        </w:rPr>
        <w:t xml:space="preserve">God's answer to Job, chapters 38 through 41, is composed almost entirely of unanswered rhetorical questions returning Job to the very beginning — to Genesis, to the foundation of the earth — rather than a direct claim to have caused Job's suffering. Job's own friend Elihu had already anticipated this answer: "touching the Almighty, we cannot find him out... he will not afflict" (Job 37:23). Job's fault, in other words, was not that he suffered unjustly but that he had been speaking from hearsay rather than from the record already available in Genesis; his own confession — "I have heard of thee by the hearing of the ear, but now mine eye seeth thee" (Job 42:5) — turns him back to a knowledge he ought already to have had.</w:t>
      </w:r>
    </w:p>
    <w:p>
      <w:pPr>
        <w:spacing w:after="0" w:before="200"/>
      </w:pPr>
      <w:r>
        <w:rPr>
          <w:b/>
          <w:bCs/>
          <w:sz w:val="24"/>
          <w:szCs w:val="24"/>
        </w:rPr>
        <w:t xml:space="preserve">Job 42:11</w:t>
      </w:r>
    </w:p>
    <w:p>
      <w:pPr>
        <w:spacing w:after="0"/>
        <w:ind w:left="432"/>
      </w:pPr>
      <w:r>
        <w:rPr>
          <w:sz w:val="24"/>
          <w:szCs w:val="24"/>
        </w:rPr>
        <w:t xml:space="preserve">[11]Then came there unto him all his brethren, and all his sisters, and all they that had been of his acquaintance before, and did eat bread with him in his house: and they bemoaned him, and comforted him over all the evil that the Lord had brought upon him...</w:t>
      </w:r>
    </w:p>
    <w:p>
      <w:pPr>
        <w:spacing w:after="200"/>
        <w:ind w:firstLine="432"/>
        <w:jc w:val="both"/>
      </w:pPr>
      <w:r>
        <w:rPr>
          <w:sz w:val="24"/>
          <w:szCs w:val="24"/>
        </w:rPr>
        <w:t xml:space="preserve">The narrator's own closing description of "all the evil that the Lord had brought upon him" must be read within this same poetic and rhetorical convention: attributing to God, in summary language, what the narrative itself has shown to be Job's own affliction — permitted, not authored — rather than a plain, literal claim that God directly inflicted the suffering.</w:t>
      </w:r>
    </w:p>
    <w:p>
      <w:pPr>
        <w:spacing w:after="200" w:before="360"/>
      </w:pPr>
      <w:r>
        <w:rPr>
          <w:b/>
          <w:bCs/>
          <w:sz w:val="26"/>
          <w:szCs w:val="26"/>
        </w:rPr>
        <w:t xml:space="preserve">Conclusion: Spiritual Growth Cannot Bypass the Old Testament</w:t>
      </w:r>
    </w:p>
    <w:p>
      <w:pPr>
        <w:spacing w:after="200"/>
        <w:ind w:firstLine="432"/>
        <w:jc w:val="both"/>
      </w:pPr>
      <w:r>
        <w:rPr>
          <w:sz w:val="24"/>
          <w:szCs w:val="24"/>
        </w:rPr>
        <w:t xml:space="preserve">To imagine that spiritual maturity can be built on the epistles alone, without the Old Testament that gave the epistles their entire vocabulary and narrative structure, is to build on foundations one has never actually examined. The earliest congregations themselves grew, not chiefly on New Testament writings that did not yet exist for most of their history, but on the Old Testament read and taught rightly — "all scripture," in Paul's own words to Timothy, "profitable for doctrine, for reproof, for correction, for instruction in righteousness" (2 Timothy 3:16), a description written when "scripture" still meant, overwhelmingly, the thirty-nine books of the Old Testament.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2026-07-13T15:03:45.767Z</dcterms:created>
  <dcterms:modified xsi:type="dcterms:W3CDTF">2026-07-13T15:03:45.769Z</dcterms:modified>
</cp:coreProperties>
</file>

<file path=docProps/custom.xml><?xml version="1.0" encoding="utf-8"?>
<Properties xmlns="http://schemas.openxmlformats.org/officeDocument/2006/custom-properties" xmlns:vt="http://schemas.openxmlformats.org/officeDocument/2006/docPropsVTypes"/>
</file>