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b/>
          <w:bCs/>
          <w:sz w:val="32"/>
          <w:szCs w:val="32"/>
        </w:rPr>
        <w:t xml:space="preserve">Two Kinds of Righteousness — Series 2, Part 1: Track 12</w:t>
      </w:r>
    </w:p>
    <w:p>
      <w:pPr>
        <w:spacing w:after="360"/>
        <w:jc w:val="center"/>
      </w:pPr>
      <w:r>
        <w:rPr>
          <w:b/>
          <w:bCs/>
          <w:sz w:val="32"/>
          <w:szCs w:val="32"/>
        </w:rPr>
        <w:t xml:space="preserve">Causative and Permissive Language: Reading "I Will Cause" Rightly in the Prophets</w:t>
      </w:r>
    </w:p>
    <w:p>
      <w:pPr>
        <w:spacing w:after="200" w:before="360"/>
      </w:pPr>
      <w:r>
        <w:rPr>
          <w:b/>
          <w:bCs/>
          <w:sz w:val="26"/>
          <w:szCs w:val="26"/>
        </w:rPr>
        <w:t xml:space="preserve">Recapitulation: Hebrews as a Mirror of the Old Testament's Own Audience</w:t>
      </w:r>
    </w:p>
    <w:p>
      <w:pPr>
        <w:spacing w:after="0" w:before="200"/>
      </w:pPr>
      <w:r>
        <w:rPr>
          <w:b/>
          <w:bCs/>
          <w:sz w:val="24"/>
          <w:szCs w:val="24"/>
        </w:rPr>
        <w:t xml:space="preserve">Mark 16:14</w:t>
      </w:r>
    </w:p>
    <w:p>
      <w:pPr>
        <w:spacing w:after="0"/>
        <w:ind w:left="432"/>
      </w:pPr>
      <w:r>
        <w:rPr>
          <w:sz w:val="24"/>
          <w:szCs w:val="24"/>
        </w:rPr>
        <w:t xml:space="preserve">[14]...and upbraided them with their unbelief and hardness of heart, because they believed not them which had seen him after he was risen.</w:t>
      </w:r>
    </w:p>
    <w:p>
      <w:pPr>
        <w:spacing w:after="200"/>
        <w:ind w:firstLine="432"/>
        <w:jc w:val="both"/>
      </w:pPr>
      <w:r>
        <w:rPr>
          <w:sz w:val="24"/>
          <w:szCs w:val="24"/>
        </w:rPr>
        <w:t xml:space="preserve">The audience Jesus addresses in his own resurrection appearances is, in its unbelief, no different from the audience Moses addressed centuries earlier — three or more years of Jesus' own daily teaching notwithstanding, hearts remained hardened. This is why the book of Hebrews, addressed nominally to a Jewish readership, functions as something of a mirror of the Old Testament's own audience of belief and unbelief; it stands closer than any other epistle to the position of an audience partly persuaded and partly resistant.</w:t>
      </w:r>
    </w:p>
    <w:p>
      <w:pPr>
        <w:spacing w:after="0" w:before="200"/>
      </w:pPr>
      <w:r>
        <w:rPr>
          <w:b/>
          <w:bCs/>
          <w:sz w:val="24"/>
          <w:szCs w:val="24"/>
        </w:rPr>
        <w:t xml:space="preserve">Hebrews 2:3-4</w:t>
      </w:r>
    </w:p>
    <w:p>
      <w:pPr>
        <w:spacing w:after="0"/>
        <w:ind w:left="432"/>
      </w:pPr>
      <w:r>
        <w:rPr>
          <w:sz w:val="24"/>
          <w:szCs w:val="24"/>
        </w:rPr>
        <w:t xml:space="preserve">[3]How shall we escape, if we neglect so great salvation; which at the first began to be spoken by the Lord, and was confirmed unto us by them that heard him;</w:t>
      </w:r>
    </w:p>
    <w:p>
      <w:pPr>
        <w:spacing w:after="0"/>
        <w:ind w:left="432"/>
      </w:pPr>
      <w:r>
        <w:rPr>
          <w:sz w:val="24"/>
          <w:szCs w:val="24"/>
        </w:rPr>
        <w:t xml:space="preserve">[4]God also bearing them witness, both with signs and wonders, and with divers miracles, and gifts of the Holy Ghost, according to his own will?</w:t>
      </w:r>
    </w:p>
    <w:p>
      <w:pPr>
        <w:spacing w:after="200"/>
        <w:ind w:firstLine="432"/>
        <w:jc w:val="both"/>
      </w:pPr>
      <w:r>
        <w:rPr>
          <w:sz w:val="24"/>
          <w:szCs w:val="24"/>
        </w:rPr>
        <w:t xml:space="preserve">The writer of Hebrews addresses "our fathers," a specifically Jewish frame of reference, and is closer than any other New Testament writer to quoting Jeremiah 31 at length, concerning the day God took Israel by the hand and led them out of Egypt — yet the letter's wider implication is Gentile salvation.</w:t>
      </w:r>
    </w:p>
    <w:p>
      <w:pPr>
        <w:spacing w:after="0" w:before="200"/>
      </w:pPr>
      <w:r>
        <w:rPr>
          <w:b/>
          <w:bCs/>
          <w:sz w:val="24"/>
          <w:szCs w:val="24"/>
        </w:rPr>
        <w:t xml:space="preserve">Hebrews 4:1-2, 11</w:t>
      </w:r>
    </w:p>
    <w:p>
      <w:pPr>
        <w:spacing w:after="0"/>
        <w:ind w:left="432"/>
      </w:pPr>
      <w:r>
        <w:rPr>
          <w:sz w:val="24"/>
          <w:szCs w:val="24"/>
        </w:rPr>
        <w:t xml:space="preserve">[1]Let us therefore fear, lest, a promise being left us of entering into his rest, any of you should seem to come short of it.</w:t>
      </w:r>
    </w:p>
    <w:p>
      <w:pPr>
        <w:spacing w:after="0"/>
        <w:ind w:left="432"/>
      </w:pPr>
      <w:r>
        <w:rPr>
          <w:sz w:val="24"/>
          <w:szCs w:val="24"/>
        </w:rPr>
        <w:t xml:space="preserve">[2]For unto us was the gospel preached, as well as unto them: but the word preached did not profit them, not being mixed with faith in them that heard it.</w:t>
      </w:r>
    </w:p>
    <w:p>
      <w:pPr>
        <w:spacing w:after="0"/>
        <w:ind w:left="432"/>
      </w:pPr>
      <w:r>
        <w:rPr>
          <w:sz w:val="24"/>
          <w:szCs w:val="24"/>
        </w:rPr>
        <w:t xml:space="preserve">[11]Let us labour therefore to enter into that rest, lest any man fall after the same example of unbelief.</w:t>
      </w:r>
    </w:p>
    <w:p>
      <w:pPr>
        <w:spacing w:after="200"/>
        <w:ind w:firstLine="432"/>
        <w:jc w:val="both"/>
      </w:pPr>
      <w:r>
        <w:rPr>
          <w:sz w:val="24"/>
          <w:szCs w:val="24"/>
        </w:rPr>
        <w:t xml:space="preserve">If salvation belonged to the Jew simply by virtue of being a Jew, no condition would be attached; but the writer places a condition — belief, mixed with the word heard — showing that the true dividing line was never ethnic origin but faith. This is confirmed by Hebrews 11's own catalogue of the faithful, which begins with Abel, before any covenant of circumcision existed, and includes Rahab, a Canaanite woman, and even Noah and Enoch, who predate Abraham entirely — the writer, in effect, reworking the whole of the Old Testament into a single argument that its true dividing line was always belief and unbelief, not bloodline.</w:t>
      </w:r>
    </w:p>
    <w:p>
      <w:pPr>
        <w:spacing w:after="200" w:before="360"/>
      </w:pPr>
      <w:r>
        <w:rPr>
          <w:b/>
          <w:bCs/>
          <w:sz w:val="26"/>
          <w:szCs w:val="26"/>
        </w:rPr>
        <w:t xml:space="preserve">"Son of God": One Term, Two Contexts</w:t>
      </w:r>
    </w:p>
    <w:p>
      <w:pPr>
        <w:spacing w:after="0" w:before="200"/>
      </w:pPr>
      <w:r>
        <w:rPr>
          <w:b/>
          <w:bCs/>
          <w:sz w:val="24"/>
          <w:szCs w:val="24"/>
        </w:rPr>
        <w:t xml:space="preserve">Romans 1:3-4</w:t>
      </w:r>
    </w:p>
    <w:p>
      <w:pPr>
        <w:spacing w:after="0"/>
        <w:ind w:left="432"/>
      </w:pPr>
      <w:r>
        <w:rPr>
          <w:sz w:val="24"/>
          <w:szCs w:val="24"/>
        </w:rPr>
        <w:t xml:space="preserve">[3]Concerning his Son Jesus Christ our Lord, which was made of the seed of David according to the flesh;</w:t>
      </w:r>
    </w:p>
    <w:p>
      <w:pPr>
        <w:spacing w:after="0"/>
        <w:ind w:left="432"/>
      </w:pPr>
      <w:r>
        <w:rPr>
          <w:sz w:val="24"/>
          <w:szCs w:val="24"/>
        </w:rPr>
        <w:t xml:space="preserve">[4]And declared to be the Son of God with power, according to the spirit of holiness, by the resurrection from the dead:</w:t>
      </w:r>
    </w:p>
    <w:p>
      <w:pPr>
        <w:spacing w:after="200"/>
        <w:ind w:firstLine="432"/>
        <w:jc w:val="both"/>
      </w:pPr>
      <w:r>
        <w:rPr>
          <w:sz w:val="24"/>
          <w:szCs w:val="24"/>
        </w:rPr>
        <w:t xml:space="preserve">To a Jewish hearer, "Son of God" evokes the category of inheritance already embedded in the Old Testament's own language for Israel and for the promised king — the phrase carries an immediate scriptural resonance with a whole prior history of promise. To a Gentile hearer in the Roman world, the very same phrase is a direct challenge to Caesar, who claimed that title, "son of god," for himself on his own coinage and in his own official titulature; to call Jesus "Son of God" in that world was tantamount to saying Caesar is not the Christ, and Caesar is not Lord. The theology is identical in both cases — the declaration of Jesus' unique standing before God, vindicated by the resurrection — but the immediate resonance differs sharply by audience, precisely the discipline every translator and teacher of Scripture must exercise if a text is to be rightly understood in a world other than the one that first received it.</w:t>
      </w:r>
    </w:p>
    <w:p>
      <w:pPr>
        <w:spacing w:after="200" w:before="360"/>
      </w:pPr>
      <w:r>
        <w:rPr>
          <w:b/>
          <w:bCs/>
          <w:sz w:val="26"/>
          <w:szCs w:val="26"/>
        </w:rPr>
        <w:t xml:space="preserve">Translators Are Also Interpreters, and Bring Their Own Bias</w:t>
      </w:r>
    </w:p>
    <w:p>
      <w:pPr>
        <w:spacing w:after="200"/>
        <w:ind w:firstLine="432"/>
        <w:jc w:val="both"/>
      </w:pPr>
      <w:r>
        <w:rPr>
          <w:sz w:val="24"/>
          <w:szCs w:val="24"/>
        </w:rPr>
        <w:t xml:space="preserve">No translation is free of its translators' own theological commitments. Certain long-established English renderings reflect doctrinal positions of the translators themselves rather than a neutral rendering of the underlying Hebrew or Greek — a phrase such as "called to be saints" imports, through its added wording, an entire theology of effectual calling that a more literal rendering does not require. This is not, in itself, an accusation of dishonesty on the part of any particular group of translators — it is simply an acknowledgment that translation is itself already a work of interpretation, carried out by fallible and doctrinally situated men, and must therefore be examined rather than treated as beyond question. Archaic English usage compounds the difficulty for a modern reader: "suffered them not to go," in seventeenth-century English, meant simply "allowed them not to go," not "caused them pain" — the word "suffer" itself, in that century's usage, meant to permit or to tolerate over time, which is why "long-suffering" describes patient forbearance rather than prolonged agony. A reminder that even within a single language, words shift meaning across centuries, and how much more across the far wider gap between ancient Hebrew and modern English.</w:t>
      </w:r>
    </w:p>
    <w:p>
      <w:pPr>
        <w:spacing w:after="200" w:before="360"/>
      </w:pPr>
      <w:r>
        <w:rPr>
          <w:b/>
          <w:bCs/>
          <w:sz w:val="26"/>
          <w:szCs w:val="26"/>
        </w:rPr>
        <w:t xml:space="preserve">Ecclesia: One Word, Two Worlds Unified in Theology</w:t>
      </w:r>
    </w:p>
    <w:p>
      <w:pPr>
        <w:spacing w:after="200"/>
        <w:ind w:firstLine="432"/>
        <w:jc w:val="both"/>
      </w:pPr>
      <w:r>
        <w:rPr>
          <w:sz w:val="24"/>
          <w:szCs w:val="24"/>
        </w:rPr>
        <w:t xml:space="preserve">The Greek </w:t>
      </w:r>
      <w:r>
        <w:rPr>
          <w:i/>
          <w:iCs/>
          <w:sz w:val="24"/>
          <w:szCs w:val="24"/>
        </w:rPr>
        <w:t xml:space="preserve">ekklēsia</w:t>
      </w:r>
      <w:r>
        <w:rPr>
          <w:sz w:val="24"/>
          <w:szCs w:val="24"/>
        </w:rPr>
        <w:t xml:space="preserve">, "church," denoted in ordinary secular Greek usage a body of citizens called out to deliberate, make laws, and exercise civic privilege on behalf of a ruler or city — those who governed with rights and responsibilities delegated to them. The very same word, however, was used in the Septuagint of Israel called out of Egypt to receive and carry out God's own instruction. Paul's use of the word unifies both worlds without collapsing either into the other: to a Greek hearer, a body making laws and exercising rights on behalf of a sovereign; to a Jewish hearer, a family carrying out God's own instruction as a called-out nation. Two different immediate associations, drawn from two different civic and religious cultures, converge on the same underlying theological reality — a people commissioned to represent, and to act on behalf of, the one who called them.</w:t>
      </w:r>
    </w:p>
    <w:p>
      <w:pPr>
        <w:spacing w:after="200" w:before="360"/>
      </w:pPr>
      <w:r>
        <w:rPr>
          <w:b/>
          <w:bCs/>
          <w:sz w:val="26"/>
          <w:szCs w:val="26"/>
        </w:rPr>
        <w:t xml:space="preserve">Hebraism: A Distinct Mode of Communication</w:t>
      </w:r>
    </w:p>
    <w:p>
      <w:pPr>
        <w:spacing w:after="200"/>
        <w:ind w:firstLine="432"/>
        <w:jc w:val="both"/>
      </w:pPr>
      <w:r>
        <w:rPr>
          <w:sz w:val="24"/>
          <w:szCs w:val="24"/>
        </w:rPr>
        <w:t xml:space="preserve">Hebrew idiom, or </w:t>
      </w:r>
      <w:r>
        <w:rPr>
          <w:i/>
          <w:iCs/>
          <w:sz w:val="24"/>
          <w:szCs w:val="24"/>
        </w:rPr>
        <w:t xml:space="preserve">Hebraism</w:t>
      </w:r>
      <w:r>
        <w:rPr>
          <w:sz w:val="24"/>
          <w:szCs w:val="24"/>
        </w:rPr>
        <w:t xml:space="preserve">, describes a mode of expression distinctive to Hebrew thought and communication — one that must be read on its own terms rather than translated woodenly into the grammar of another language, in the same way that no responsible translator would render a Yoruba idiom into English word for word and expect the resulting phrase to carry the same sense. Ancient Hebrew, in particular, did not sharply distinguish between the </w:t>
      </w:r>
      <w:r>
        <w:rPr>
          <w:i/>
          <w:iCs/>
          <w:sz w:val="24"/>
          <w:szCs w:val="24"/>
        </w:rPr>
        <w:t xml:space="preserve">volitive</w:t>
      </w:r>
      <w:r>
        <w:rPr>
          <w:sz w:val="24"/>
          <w:szCs w:val="24"/>
        </w:rPr>
        <w:t xml:space="preserve"> — what an agent actively wills and performs — and the </w:t>
      </w:r>
      <w:r>
        <w:rPr>
          <w:i/>
          <w:iCs/>
          <w:sz w:val="24"/>
          <w:szCs w:val="24"/>
        </w:rPr>
        <w:t xml:space="preserve">cognitive</w:t>
      </w:r>
      <w:r>
        <w:rPr>
          <w:sz w:val="24"/>
          <w:szCs w:val="24"/>
        </w:rPr>
        <w:t xml:space="preserve"> — what an agent perceives, knows, or foresees. English, by comparison, leans heavily toward the volitive: "I will do this" ordinarily implies direct, personal action. Hebrew could use the very same active-sounding verb form to describe something a speaker merely foresaw, permitted, or watched unfold, without thereby claiming to have caused it — a distinction with no easy one-word equivalent in modern English, which is precisely why so many translators, working quickly and without due patience, have rendered such verbs as flatly causative and thereby created a theological problem that does not exist in the original.</w:t>
      </w:r>
    </w:p>
    <w:p>
      <w:pPr>
        <w:spacing w:after="200" w:before="360"/>
      </w:pPr>
      <w:r>
        <w:rPr>
          <w:b/>
          <w:bCs/>
          <w:sz w:val="26"/>
          <w:szCs w:val="26"/>
        </w:rPr>
        <w:t xml:space="preserve">Causative and Permissive Verbs in the Prophets</w:t>
      </w:r>
    </w:p>
    <w:p>
      <w:pPr>
        <w:spacing w:after="200"/>
        <w:ind w:firstLine="432"/>
        <w:jc w:val="both"/>
      </w:pPr>
      <w:r>
        <w:rPr>
          <w:sz w:val="24"/>
          <w:szCs w:val="24"/>
        </w:rPr>
        <w:t xml:space="preserve">Brother Hagin's early observation about Exodus 15:26 — that "I will not put on you the disease of the Egyptians" reflects a permissive rather than causative sense — opens onto a far wider pattern across the prophetic books, where an active-sounding Hebrew verb form regularly describes something God foresaw and allowed rather than something he directly performed. This single observation, once its implications are followed carefully through the text, resolves difficulty after difficulty that a wooden, word-for-word English rendering leaves unresolved.</w:t>
      </w:r>
    </w:p>
    <w:p>
      <w:pPr>
        <w:spacing w:after="0" w:before="200"/>
      </w:pPr>
      <w:r>
        <w:rPr>
          <w:b/>
          <w:bCs/>
          <w:sz w:val="24"/>
          <w:szCs w:val="24"/>
        </w:rPr>
        <w:t xml:space="preserve">Ezekiel 32:4</w:t>
      </w:r>
    </w:p>
    <w:p>
      <w:pPr>
        <w:spacing w:after="0"/>
        <w:ind w:left="432"/>
      </w:pPr>
      <w:r>
        <w:rPr>
          <w:sz w:val="24"/>
          <w:szCs w:val="24"/>
        </w:rPr>
        <w:t xml:space="preserve">[4]Then will I leave thee upon the land, I will cast thee forth upon the open field, and will cause all the fowls of the heaven to remain upon thee, and I will fill the beasts of the whole earth with thee.</w:t>
      </w:r>
    </w:p>
    <w:p>
      <w:pPr>
        <w:spacing w:after="200"/>
        <w:ind w:firstLine="432"/>
        <w:jc w:val="both"/>
      </w:pPr>
      <w:r>
        <w:rPr>
          <w:sz w:val="24"/>
          <w:szCs w:val="24"/>
        </w:rPr>
        <w:t xml:space="preserve">Modern translations regularly render such statements permissively: "I will let all the birds of the heavens come... I will let wild animals gorge themselves upon you." Several English versions of Ezekiel 32:4 alone were compared, and each independently arrived at "let" rather than "cause" once the translators paid attention to the underlying Hebrew form rather than defaulting to the most literal-sounding English gloss. The underlying reality in every such case is the disobedience of the people concerned, tracing back to the pattern first established in Eden.</w:t>
      </w:r>
    </w:p>
    <w:p>
      <w:pPr>
        <w:spacing w:after="0" w:before="200"/>
      </w:pPr>
      <w:r>
        <w:rPr>
          <w:b/>
          <w:bCs/>
          <w:sz w:val="24"/>
          <w:szCs w:val="24"/>
        </w:rPr>
        <w:t xml:space="preserve">Genesis 2:16-17</w:t>
      </w:r>
    </w:p>
    <w:p>
      <w:pPr>
        <w:spacing w:after="0"/>
        <w:ind w:left="432"/>
      </w:pPr>
      <w:r>
        <w:rPr>
          <w:sz w:val="24"/>
          <w:szCs w:val="24"/>
        </w:rPr>
        <w:t xml:space="preserve">[16]...Of every tree of the garden thou mayest freely eat:</w:t>
      </w:r>
    </w:p>
    <w:p>
      <w:pPr>
        <w:spacing w:after="0"/>
        <w:ind w:left="432"/>
      </w:pPr>
      <w:r>
        <w:rPr>
          <w:sz w:val="24"/>
          <w:szCs w:val="24"/>
        </w:rPr>
        <w:t xml:space="preserve">[17]But of the tree of the knowledge of good and evil, thou shalt not eat of it: for in the day that thou eatest thereof thou shalt surely die.</w:t>
      </w:r>
    </w:p>
    <w:p>
      <w:pPr>
        <w:spacing w:after="0" w:before="200"/>
      </w:pPr>
      <w:r>
        <w:rPr>
          <w:b/>
          <w:bCs/>
          <w:sz w:val="24"/>
          <w:szCs w:val="24"/>
        </w:rPr>
        <w:t xml:space="preserve">Genesis 3:9, 11</w:t>
      </w:r>
    </w:p>
    <w:p>
      <w:pPr>
        <w:spacing w:after="0"/>
        <w:ind w:left="432"/>
      </w:pPr>
      <w:r>
        <w:rPr>
          <w:sz w:val="24"/>
          <w:szCs w:val="24"/>
        </w:rPr>
        <w:t xml:space="preserve">[9]...the Lord God called unto Adam, and said unto him, Where art thou?</w:t>
      </w:r>
    </w:p>
    <w:p>
      <w:pPr>
        <w:spacing w:after="0"/>
        <w:ind w:left="432"/>
      </w:pPr>
      <w:r>
        <w:rPr>
          <w:sz w:val="24"/>
          <w:szCs w:val="24"/>
        </w:rPr>
        <w:t xml:space="preserve">[11]...Who told thee that thou wast naked? Hast thou eaten of the tree, whereof I commanded thee that thou shouldest not eat?</w:t>
      </w:r>
    </w:p>
    <w:p>
      <w:pPr>
        <w:spacing w:after="200"/>
        <w:ind w:firstLine="432"/>
        <w:jc w:val="both"/>
      </w:pPr>
      <w:r>
        <w:rPr>
          <w:sz w:val="24"/>
          <w:szCs w:val="24"/>
        </w:rPr>
        <w:t xml:space="preserve">God's question "where art thou?" is rhetorical, not a literal admission of absence or ignorance — nothing in the text implies that God had merely stepped away the previous evening and lost track of Adam's location; the question confronts a fact God already knows and forces Adam to reckon with it himself. God's statement to Adam is likewise permissive — a foreseen and warned-of consequence — rather than causative. Genesis 2-3, in this sense, supplies the "genealogy" for how evil is to be read throughout the rest of the Old Testament: God present, God foreseeing, God warning, but God not the author of the act itself. Every later instance of judgment language in the prophets ultimately traces back to, and must be read in light of, this founding pattern.</w:t>
      </w:r>
    </w:p>
    <w:p>
      <w:pPr>
        <w:spacing w:after="0" w:before="200"/>
      </w:pPr>
      <w:r>
        <w:rPr>
          <w:b/>
          <w:bCs/>
          <w:sz w:val="24"/>
          <w:szCs w:val="24"/>
        </w:rPr>
        <w:t xml:space="preserve">Ezekiel 14:15</w:t>
      </w:r>
    </w:p>
    <w:p>
      <w:pPr>
        <w:spacing w:after="0"/>
        <w:ind w:left="432"/>
      </w:pPr>
      <w:r>
        <w:rPr>
          <w:sz w:val="24"/>
          <w:szCs w:val="24"/>
        </w:rPr>
        <w:t xml:space="preserve">[15]If I cause noisome beasts to pass through the land, and they spoil it, so that it be desolate, that no man may pass through because of the beasts:</w:t>
      </w:r>
    </w:p>
    <w:p>
      <w:pPr>
        <w:spacing w:after="0" w:before="200"/>
      </w:pPr>
      <w:r>
        <w:rPr>
          <w:b/>
          <w:bCs/>
          <w:sz w:val="24"/>
          <w:szCs w:val="24"/>
        </w:rPr>
        <w:t xml:space="preserve">2 Kings 17:25-26</w:t>
      </w:r>
    </w:p>
    <w:p>
      <w:pPr>
        <w:spacing w:after="0"/>
        <w:ind w:left="432"/>
      </w:pPr>
      <w:r>
        <w:rPr>
          <w:sz w:val="24"/>
          <w:szCs w:val="24"/>
        </w:rPr>
        <w:t xml:space="preserve">[25]...they feared not the Lord: therefore the Lord sent lions among them, which slew some of them.</w:t>
      </w:r>
    </w:p>
    <w:p>
      <w:pPr>
        <w:spacing w:after="0"/>
        <w:ind w:left="432"/>
      </w:pPr>
      <w:r>
        <w:rPr>
          <w:sz w:val="24"/>
          <w:szCs w:val="24"/>
        </w:rPr>
        <w:t xml:space="preserve">[26]Wherefore they spake to the king of Assyria, saying... they know not the manner of the God of the land...</w:t>
      </w:r>
    </w:p>
    <w:p>
      <w:pPr>
        <w:spacing w:after="200"/>
        <w:ind w:firstLine="432"/>
        <w:jc w:val="both"/>
      </w:pPr>
      <w:r>
        <w:rPr>
          <w:sz w:val="24"/>
          <w:szCs w:val="24"/>
        </w:rPr>
        <w:t xml:space="preserve">What is described here as God "sending" lions is, on inspection, the withdrawal of a protection contingent on covenant faithfulness (compare Deuteronomy 8:15, the great and terrible wilderness of fiery serpents and scorpions through which God had led Israel safely; Psalm 91:13-14, the promise of treading upon the lion and the adder), not an act of active aggression. The report brought back to the Assyrian king even states the matter plainly in its own terms: the new settlers "know not the manner of the God of the land" — that is, they do not know how to secure his protection, not that this God has determined to destroy them regardless of their conduct.</w:t>
      </w:r>
    </w:p>
    <w:p>
      <w:pPr>
        <w:spacing w:after="0" w:before="200"/>
      </w:pPr>
      <w:r>
        <w:rPr>
          <w:b/>
          <w:bCs/>
          <w:sz w:val="24"/>
          <w:szCs w:val="24"/>
        </w:rPr>
        <w:t xml:space="preserve">Ezekiel 34:25, 28</w:t>
      </w:r>
    </w:p>
    <w:p>
      <w:pPr>
        <w:spacing w:after="0"/>
        <w:ind w:left="432"/>
      </w:pPr>
      <w:r>
        <w:rPr>
          <w:sz w:val="24"/>
          <w:szCs w:val="24"/>
        </w:rPr>
        <w:t xml:space="preserve">[25]And I will make with them a covenant of peace, and will cause the evil beasts to cease out of the land: and they shall dwell safely in the wilderness...</w:t>
      </w:r>
    </w:p>
    <w:p>
      <w:pPr>
        <w:spacing w:after="0"/>
        <w:ind w:left="432"/>
      </w:pPr>
      <w:r>
        <w:rPr>
          <w:sz w:val="24"/>
          <w:szCs w:val="24"/>
        </w:rPr>
        <w:t xml:space="preserve">[28]And they shall no more be a prey to the heathen, neither shall the beast of the land devour them; but they shall dwell safely, and none shall make them afraid.</w:t>
      </w:r>
    </w:p>
    <w:p>
      <w:pPr>
        <w:spacing w:after="200"/>
        <w:ind w:firstLine="432"/>
        <w:jc w:val="both"/>
      </w:pPr>
      <w:r>
        <w:rPr>
          <w:sz w:val="24"/>
          <w:szCs w:val="24"/>
        </w:rPr>
        <w:t xml:space="preserve">The contrast is explicit and instructive: where the covenant is kept, protection from wild beasts is present; where it is broken, that same protection is withdrawn — the withdrawal itself, not an active infliction, being what the causative-sounding language in the earlier passages actually describes. Reading Ezekiel 34 alongside Ezekiel 14 and 32 removes any appearance of contradiction between a God who "causes" beasts to devour and a God who "causes" them to cease; both statements describe the same underlying reality of covenant protection given or withdrawn.</w:t>
      </w:r>
    </w:p>
    <w:p>
      <w:pPr>
        <w:spacing w:after="0" w:before="200"/>
      </w:pPr>
      <w:r>
        <w:rPr>
          <w:b/>
          <w:bCs/>
          <w:sz w:val="24"/>
          <w:szCs w:val="24"/>
        </w:rPr>
        <w:t xml:space="preserve">Jeremiah 7:8-10</w:t>
      </w:r>
    </w:p>
    <w:p>
      <w:pPr>
        <w:spacing w:after="0"/>
        <w:ind w:left="432"/>
      </w:pPr>
      <w:r>
        <w:rPr>
          <w:sz w:val="24"/>
          <w:szCs w:val="24"/>
        </w:rPr>
        <w:t xml:space="preserve">[8]Behold, ye trust in lying words, that cannot profit.</w:t>
      </w:r>
    </w:p>
    <w:p>
      <w:pPr>
        <w:spacing w:after="0"/>
        <w:ind w:left="432"/>
      </w:pPr>
      <w:r>
        <w:rPr>
          <w:sz w:val="24"/>
          <w:szCs w:val="24"/>
        </w:rPr>
        <w:t xml:space="preserve">[9]Will ye steal, murder, and commit adultery, and swear falsely, and burn incense unto Baal, and walk after other gods whom ye know not;</w:t>
      </w:r>
    </w:p>
    <w:p>
      <w:pPr>
        <w:spacing w:after="0"/>
        <w:ind w:left="432"/>
      </w:pPr>
      <w:r>
        <w:rPr>
          <w:sz w:val="24"/>
          <w:szCs w:val="24"/>
        </w:rPr>
        <w:t xml:space="preserve">[10]And come and stand before me in this house, which is called by my name, and say, We are delivered to do all these abominations?</w:t>
      </w:r>
    </w:p>
    <w:p>
      <w:pPr>
        <w:spacing w:after="200"/>
        <w:ind w:firstLine="432"/>
        <w:jc w:val="both"/>
      </w:pPr>
      <w:r>
        <w:rPr>
          <w:sz w:val="24"/>
          <w:szCs w:val="24"/>
        </w:rPr>
        <w:t xml:space="preserve">The people described here trust in the mere fact of the temple's existence to protect them regardless of their conduct — precisely the presumption Jeremiah is sent to correct. Their expectation of automatic protection, irrespective of covenant faithfulness, is exposed as false; what follows in the judgment oracles is the natural withdrawal of the protection they had presumed upon, not an arbitrary reversal of God's character.</w:t>
      </w:r>
    </w:p>
    <w:p>
      <w:pPr>
        <w:spacing w:after="200" w:before="360"/>
      </w:pPr>
      <w:r>
        <w:rPr>
          <w:b/>
          <w:bCs/>
          <w:sz w:val="26"/>
          <w:szCs w:val="26"/>
        </w:rPr>
        <w:t xml:space="preserve">God's Wrath as Withdrawal and Inactivity, Not Aggression</w:t>
      </w:r>
    </w:p>
    <w:p>
      <w:pPr>
        <w:spacing w:after="0" w:before="200"/>
      </w:pPr>
      <w:r>
        <w:rPr>
          <w:b/>
          <w:bCs/>
          <w:sz w:val="24"/>
          <w:szCs w:val="24"/>
        </w:rPr>
        <w:t xml:space="preserve">Lamentations 2:3</w:t>
      </w:r>
    </w:p>
    <w:p>
      <w:pPr>
        <w:spacing w:after="0"/>
        <w:ind w:left="432"/>
      </w:pPr>
      <w:r>
        <w:rPr>
          <w:sz w:val="24"/>
          <w:szCs w:val="24"/>
        </w:rPr>
        <w:t xml:space="preserve">[3]He hath cut off in his fierce anger all the horn of Israel: he hath drawn back his right hand from before the enemy...</w:t>
      </w:r>
    </w:p>
    <w:p>
      <w:pPr>
        <w:spacing w:after="200"/>
        <w:ind w:firstLine="432"/>
        <w:jc w:val="both"/>
      </w:pPr>
      <w:r>
        <w:rPr>
          <w:sz w:val="24"/>
          <w:szCs w:val="24"/>
        </w:rPr>
        <w:t xml:space="preserve">To "draw back the right hand" is to withdraw active help, not to strike — wrath here is described as silence and inactivity, the withholding of the intervention that would otherwise have been given, precisely the pattern already established in the wilderness narratives and now repeated at the fall of Jerusalem.</w:t>
      </w:r>
    </w:p>
    <w:p>
      <w:pPr>
        <w:spacing w:after="0" w:before="200"/>
      </w:pPr>
      <w:r>
        <w:rPr>
          <w:b/>
          <w:bCs/>
          <w:sz w:val="24"/>
          <w:szCs w:val="24"/>
        </w:rPr>
        <w:t xml:space="preserve">Deuteronomy 28:25</w:t>
      </w:r>
    </w:p>
    <w:p>
      <w:pPr>
        <w:spacing w:after="0"/>
        <w:ind w:left="432"/>
      </w:pPr>
      <w:r>
        <w:rPr>
          <w:sz w:val="24"/>
          <w:szCs w:val="24"/>
        </w:rPr>
        <w:t xml:space="preserve">[25]The Lord shall cause thee to be smitten before thine enemies: thou shalt go out one way against them, and flee seven ways before them...</w:t>
      </w:r>
    </w:p>
    <w:p>
      <w:pPr>
        <w:spacing w:after="200"/>
        <w:ind w:firstLine="432"/>
        <w:jc w:val="both"/>
      </w:pPr>
      <w:r>
        <w:rPr>
          <w:sz w:val="24"/>
          <w:szCs w:val="24"/>
        </w:rPr>
        <w:t xml:space="preserve">This directly reverses the promise attached to obedience earlier in the same chapter — if you obey, your enemies flee before you seven ways; if you disobey, that same military protection is withdrawn, described in the same active-sounding Hebrew form used of God's positive acts elsewhere in the passage, but functioning here permissively, as the reader can determine simply by comparing the blessing and curse sections of the same chapter side by side.</w:t>
      </w:r>
    </w:p>
    <w:p>
      <w:pPr>
        <w:spacing w:after="0" w:before="200"/>
      </w:pPr>
      <w:r>
        <w:rPr>
          <w:b/>
          <w:bCs/>
          <w:sz w:val="24"/>
          <w:szCs w:val="24"/>
        </w:rPr>
        <w:t xml:space="preserve">Deuteronomy 31:17</w:t>
      </w:r>
    </w:p>
    <w:p>
      <w:pPr>
        <w:spacing w:after="0"/>
        <w:ind w:left="432"/>
      </w:pPr>
      <w:r>
        <w:rPr>
          <w:sz w:val="24"/>
          <w:szCs w:val="24"/>
        </w:rPr>
        <w:t xml:space="preserve">[17]Then my anger shall be kindled against them in that day, and I will forsake them, and I will hide my face from them, and they shall be devoured, and many evils and troubles shall befall them...</w:t>
      </w:r>
    </w:p>
    <w:p>
      <w:pPr>
        <w:spacing w:after="200"/>
        <w:ind w:firstLine="432"/>
        <w:jc w:val="both"/>
      </w:pPr>
      <w:r>
        <w:rPr>
          <w:sz w:val="24"/>
          <w:szCs w:val="24"/>
        </w:rPr>
        <w:t xml:space="preserve">Notice the sequence: anger, forsaking, hiding of the face — all descriptions of withdrawal — and only then, as a consequence of that withdrawal rather than as a separate divine act, being "devoured" by many evils and troubles. The grammar keeps God as the grammatical subject throughout, in keeping with the Hebrew idiom that will not detach him from any event at all, even one in which his actual role is to have stepped back.</w:t>
      </w:r>
    </w:p>
    <w:p>
      <w:pPr>
        <w:spacing w:after="0" w:before="200"/>
      </w:pPr>
      <w:r>
        <w:rPr>
          <w:b/>
          <w:bCs/>
          <w:sz w:val="24"/>
          <w:szCs w:val="24"/>
        </w:rPr>
        <w:t xml:space="preserve">Psalm 66:11-12</w:t>
      </w:r>
    </w:p>
    <w:p>
      <w:pPr>
        <w:spacing w:after="0"/>
        <w:ind w:left="432"/>
      </w:pPr>
      <w:r>
        <w:rPr>
          <w:sz w:val="24"/>
          <w:szCs w:val="24"/>
        </w:rPr>
        <w:t xml:space="preserve">[11]Thou broughtest us into the net; thou laidst affliction upon our loins.</w:t>
      </w:r>
    </w:p>
    <w:p>
      <w:pPr>
        <w:spacing w:after="0"/>
        <w:ind w:left="432"/>
      </w:pPr>
      <w:r>
        <w:rPr>
          <w:sz w:val="24"/>
          <w:szCs w:val="24"/>
        </w:rPr>
        <w:t xml:space="preserve">[12]Thou hast caused men to ride over our heads; we went through fire and through water: but thou broughtest us out into a wealthy place.</w:t>
      </w:r>
    </w:p>
    <w:p>
      <w:pPr>
        <w:spacing w:after="200"/>
        <w:ind w:firstLine="432"/>
        <w:jc w:val="both"/>
      </w:pPr>
      <w:r>
        <w:rPr>
          <w:sz w:val="24"/>
          <w:szCs w:val="24"/>
        </w:rPr>
        <w:t xml:space="preserve">Several modern renderings of this text clarify the sense at once: "you let our enemies walk on us... you let us be trapped." It is not that God performed the affliction directly — riding over people's heads, laying burdens on their backs — but that he permitted it, precisely as the following clause shows him then delivering his people out of that same affliction into "a wealthy place." A single actor cannot coherently be read as both the one who traps and the one who rescues from the same trap in the same active sense; the permissive sense resolves this immediately.</w:t>
      </w:r>
    </w:p>
    <w:p>
      <w:pPr>
        <w:spacing w:after="0" w:before="200"/>
      </w:pPr>
      <w:r>
        <w:rPr>
          <w:b/>
          <w:bCs/>
          <w:sz w:val="24"/>
          <w:szCs w:val="24"/>
        </w:rPr>
        <w:t xml:space="preserve">Jeremiah 19:7</w:t>
      </w:r>
    </w:p>
    <w:p>
      <w:pPr>
        <w:spacing w:after="0"/>
        <w:ind w:left="432"/>
      </w:pPr>
      <w:r>
        <w:rPr>
          <w:sz w:val="24"/>
          <w:szCs w:val="24"/>
        </w:rPr>
        <w:t xml:space="preserve">[7]And I will make void the counsel of Judah and Jerusalem in this place; and I will cause them to fall by the sword before their enemies...</w:t>
      </w:r>
    </w:p>
    <w:p>
      <w:pPr>
        <w:spacing w:after="0" w:before="200"/>
      </w:pPr>
      <w:r>
        <w:rPr>
          <w:b/>
          <w:bCs/>
          <w:sz w:val="24"/>
          <w:szCs w:val="24"/>
        </w:rPr>
        <w:t xml:space="preserve">Lamentations 2:17</w:t>
      </w:r>
    </w:p>
    <w:p>
      <w:pPr>
        <w:spacing w:after="0"/>
        <w:ind w:left="432"/>
      </w:pPr>
      <w:r>
        <w:rPr>
          <w:sz w:val="24"/>
          <w:szCs w:val="24"/>
        </w:rPr>
        <w:t xml:space="preserve">[17]The Lord hath done that which he had devised; he hath fulfilled his word that he had commanded in the days of old: he hath thrown down, and hath not pitied: and he hath caused thine enemy to rejoice over thee, he hath set up the horn of thine adversaries.</w:t>
      </w:r>
    </w:p>
    <w:p>
      <w:pPr>
        <w:spacing w:after="0" w:before="200"/>
      </w:pPr>
      <w:r>
        <w:rPr>
          <w:b/>
          <w:bCs/>
          <w:sz w:val="24"/>
          <w:szCs w:val="24"/>
        </w:rPr>
        <w:t xml:space="preserve">Proverbs 24:17</w:t>
      </w:r>
    </w:p>
    <w:p>
      <w:pPr>
        <w:spacing w:after="0"/>
        <w:ind w:left="432"/>
      </w:pPr>
      <w:r>
        <w:rPr>
          <w:sz w:val="24"/>
          <w:szCs w:val="24"/>
        </w:rPr>
        <w:t xml:space="preserve">[17]Rejoice not when thine enemy falleth, and let not thine heart be glad when he stumbleth:</w:t>
      </w:r>
    </w:p>
    <w:p>
      <w:pPr>
        <w:spacing w:after="200"/>
        <w:ind w:firstLine="432"/>
        <w:jc w:val="both"/>
      </w:pPr>
      <w:r>
        <w:rPr>
          <w:sz w:val="24"/>
          <w:szCs w:val="24"/>
        </w:rPr>
        <w:t xml:space="preserve">If Proverbs itself forbids a human being from rejoicing over a fallen enemy, God cannot coherently be read, elsewhere in the same canon, as the one actively causing and delighting in Israel's enemies' triumph in Lamentations; the more accurate sense, as several modern versions render it, is that he "let" the enemy boast — permission, not active participation or personal delight.</w:t>
      </w:r>
    </w:p>
    <w:p>
      <w:pPr>
        <w:spacing w:after="200"/>
        <w:ind w:firstLine="432"/>
        <w:jc w:val="both"/>
      </w:pPr>
      <w:r>
        <w:rPr>
          <w:sz w:val="24"/>
          <w:szCs w:val="24"/>
        </w:rPr>
        <w:t xml:space="preserve">The same pattern recurs across a wide range of further texts, each requiring the identical adjustment once the grammar is understood: "I will cause thee to serve thine enemies" (Jeremiah 17:4) means, in effect, "I will let your enemies enslave you"; "I will cause a lamb to be dismayed before their enemies" (Jeremiah 49:37); "I will cause thy multitude to fall" (Ezekiel 32:12); "I will cause my terror in the land of the living" (Ezekiel 32:32); "I will cause them to bear their shame" (Ezekiel 36:15) — in every instance, the underlying reality is a withdrawal of protection in response to persistent, repeatedly warned-against disobedience, not a direct, active infliction of harm by God's own hand.</w:t>
      </w:r>
    </w:p>
    <w:p>
      <w:pPr>
        <w:spacing w:after="200" w:before="360"/>
      </w:pPr>
      <w:r>
        <w:rPr>
          <w:b/>
          <w:bCs/>
          <w:sz w:val="26"/>
          <w:szCs w:val="26"/>
        </w:rPr>
        <w:t xml:space="preserve">Job and Genesis: Two Books Framing the Same Pattern</w:t>
      </w:r>
    </w:p>
    <w:p>
      <w:pPr>
        <w:spacing w:after="200"/>
        <w:ind w:firstLine="432"/>
        <w:jc w:val="both"/>
      </w:pPr>
      <w:r>
        <w:rPr>
          <w:sz w:val="24"/>
          <w:szCs w:val="24"/>
        </w:rPr>
        <w:t xml:space="preserve">Both Genesis and Job present scenes in which no active divine intervention prevents suffering, yet God is neither absent nor indifferent — he foresees, he laments, but he does not directly cause. Job's own answer, when finally confronted by God out of the whirlwind, is not to receive a direct admission or denial from God concerning the cause of his own suffering, but to be returned to Genesis, to "the foundation of the world," to the very structure of creation itself, as the proper starting point for understanding what has happened to him. If God could simply prevent every sinful or destructive choice without qualification, no sin and no calamity traceable to sin would exist anywhere in the world; that such things persist shows that God's usual mode of engagement with a world governed by human and angelic free will is restraint and lament rather than the direct suppression of every choice he does not approve of.</w:t>
      </w:r>
    </w:p>
    <w:p>
      <w:pPr>
        <w:spacing w:after="200" w:before="360"/>
      </w:pPr>
      <w:r>
        <w:rPr>
          <w:b/>
          <w:bCs/>
          <w:sz w:val="26"/>
          <w:szCs w:val="26"/>
        </w:rPr>
        <w:t xml:space="preserve">Conclusion: God Laments Evil Rather Than Authoring It</w:t>
      </w:r>
    </w:p>
    <w:p>
      <w:pPr>
        <w:spacing w:after="200"/>
        <w:ind w:firstLine="432"/>
        <w:jc w:val="both"/>
      </w:pPr>
      <w:r>
        <w:rPr>
          <w:sz w:val="24"/>
          <w:szCs w:val="24"/>
        </w:rPr>
        <w:t xml:space="preserve">This pattern — God present, God grieved, God not the direct cause — repeats throughout Scripture, up to and including Jesus himself weeping over Jerusalem and at the tomb of Lazarus, grieving genuinely over circumstances he would nonetheless go on to reverse. The having of a solution does not preclude genuine lament over the problem in the meantime; the two coexist without contradiction, and a preacher who cannot hold both together will either present a God who does not care or a God who does not act — both false pictures. Believers, in turn, are called to the same posture: to lament with God over the evil that persists in a fallen world, interceding and grieving as he does, while trusting that evil does not, and will not, have the final word, since Christ has already risen from the dead. The resolution of all such lament is not a change in God's character but the new creation already begun in the believer, and the ongoing work of walking in the Spirit rather than fulfilling the desires of a flesh still native to a fallen order.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2026-07-14T07:21:49.928Z</dcterms:created>
  <dcterms:modified xsi:type="dcterms:W3CDTF">2026-07-14T07:21:49.930Z</dcterms:modified>
</cp:coreProperties>
</file>

<file path=docProps/custom.xml><?xml version="1.0" encoding="utf-8"?>
<Properties xmlns="http://schemas.openxmlformats.org/officeDocument/2006/custom-properties" xmlns:vt="http://schemas.openxmlformats.org/officeDocument/2006/docPropsVTypes"/>
</file>