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b/>
          <w:bCs/>
          <w:sz w:val="32"/>
          <w:szCs w:val="32"/>
        </w:rPr>
        <w:t xml:space="preserve">Two Kinds of Righteousness — Series 2, Part 1: Track 14</w:t>
      </w:r>
    </w:p>
    <w:p>
      <w:pPr>
        <w:spacing w:after="360"/>
        <w:jc w:val="center"/>
      </w:pPr>
      <w:r>
        <w:rPr>
          <w:b/>
          <w:bCs/>
          <w:sz w:val="32"/>
          <w:szCs w:val="32"/>
        </w:rPr>
        <w:t xml:space="preserve">The Love of God Is Not a New Testament Discovery: Mystery, Parable, and the Language of Permission</w:t>
      </w:r>
    </w:p>
    <w:p>
      <w:pPr>
        <w:spacing w:after="200" w:before="360"/>
      </w:pPr>
      <w:r>
        <w:rPr>
          <w:b/>
          <w:bCs/>
          <w:sz w:val="26"/>
          <w:szCs w:val="26"/>
        </w:rPr>
        <w:t xml:space="preserve">Recovering Meaning through the Septuagint: Genesis 1, 2, and 5</w:t>
      </w:r>
    </w:p>
    <w:p>
      <w:pPr>
        <w:spacing w:after="200"/>
        <w:ind w:firstLine="432"/>
        <w:jc w:val="both"/>
      </w:pPr>
      <w:r>
        <w:rPr>
          <w:sz w:val="24"/>
          <w:szCs w:val="24"/>
        </w:rPr>
        <w:t xml:space="preserve">Comparing the Hebrew text with the Septuagint, its ancient Greek translation, clarifies a number of details that the King James Version's own wording, on its own, leaves less immediately clear. Genesis 1:2's "without form and void" is rendered by the Septuagint as "invisible and unformed," describing the earth as not yet perceptible rather than describing some prior catastrophe. Genesis 2:18's "help meet" is rendered "a helper corresponding to him" — a phrase whose "correspondence" anticipates the incarnation, a savior corresponding to humanity in every essential respect. Genesis 1:26's "let us make man in our image" is best read as a redemptive statement rather than a description of Adam's initial creation, since Adam already exists as a formed being by the time this statement's fuller implications are drawn out later in the book; Genesis 5:1, 3 confirms this reading by deliberately using the identical construction to describe Seth as made "according to his [Adam's] image, after his likeness" — showing that "image," throughout Genesis, denotes something closer to sonship and inheritance than to a bare physical resemblance. Moses draws here on the Egyptian concept of the </w:t>
      </w:r>
      <w:r>
        <w:rPr>
          <w:i/>
          <w:iCs/>
          <w:sz w:val="24"/>
          <w:szCs w:val="24"/>
        </w:rPr>
        <w:t xml:space="preserve">tselem</w:t>
      </w:r>
      <w:r>
        <w:rPr>
          <w:sz w:val="24"/>
          <w:szCs w:val="24"/>
        </w:rPr>
        <w:t xml:space="preserve">, the image used for idols in Egyptian temples, redirecting that same familiar concept toward the true and living image of God placed in humanity itself.</w:t>
      </w:r>
    </w:p>
    <w:p>
      <w:pPr>
        <w:spacing w:after="200" w:before="360"/>
      </w:pPr>
      <w:r>
        <w:rPr>
          <w:b/>
          <w:bCs/>
          <w:sz w:val="26"/>
          <w:szCs w:val="26"/>
        </w:rPr>
        <w:t xml:space="preserve">Parable and "Dark Sayings": Psalm 78</w:t>
      </w:r>
    </w:p>
    <w:p>
      <w:pPr>
        <w:spacing w:after="0" w:before="200"/>
      </w:pPr>
      <w:r>
        <w:rPr>
          <w:b/>
          <w:bCs/>
          <w:sz w:val="24"/>
          <w:szCs w:val="24"/>
        </w:rPr>
        <w:t xml:space="preserve">Psalm 78:1-2</w:t>
      </w:r>
    </w:p>
    <w:p>
      <w:pPr>
        <w:spacing w:after="0"/>
        <w:ind w:left="432"/>
      </w:pPr>
      <w:r>
        <w:rPr>
          <w:sz w:val="24"/>
          <w:szCs w:val="24"/>
        </w:rPr>
        <w:t xml:space="preserve">[1]Give ear, O my people, to my law: incline your ears to the words of my mouth.</w:t>
      </w:r>
    </w:p>
    <w:p>
      <w:pPr>
        <w:spacing w:after="0"/>
        <w:ind w:left="432"/>
      </w:pPr>
      <w:r>
        <w:rPr>
          <w:sz w:val="24"/>
          <w:szCs w:val="24"/>
        </w:rPr>
        <w:t xml:space="preserve">[2]I will open my mouth in a parable: I will utter dark sayings of old:</w:t>
      </w:r>
    </w:p>
    <w:p>
      <w:pPr>
        <w:spacing w:after="200"/>
        <w:ind w:firstLine="432"/>
        <w:jc w:val="both"/>
      </w:pPr>
      <w:r>
        <w:rPr>
          <w:sz w:val="24"/>
          <w:szCs w:val="24"/>
        </w:rPr>
        <w:t xml:space="preserve">"Parable," Hebrew </w:t>
      </w:r>
      <w:r>
        <w:rPr>
          <w:i/>
          <w:iCs/>
          <w:sz w:val="24"/>
          <w:szCs w:val="24"/>
        </w:rPr>
        <w:t xml:space="preserve">mashal</w:t>
      </w:r>
      <w:r>
        <w:rPr>
          <w:sz w:val="24"/>
          <w:szCs w:val="24"/>
        </w:rPr>
        <w:t xml:space="preserve">, and "dark sayings," Hebrew </w:t>
      </w:r>
      <w:r>
        <w:rPr>
          <w:i/>
          <w:iCs/>
          <w:sz w:val="24"/>
          <w:szCs w:val="24"/>
        </w:rPr>
        <w:t xml:space="preserve">chidah</w:t>
      </w:r>
      <w:r>
        <w:rPr>
          <w:sz w:val="24"/>
          <w:szCs w:val="24"/>
        </w:rPr>
        <w:t xml:space="preserve">, a riddle or a perplexing, unresolved question, stand in deliberate contrast to one another: a riddle exists only in the mind of one who does not yet understand it, while a parable exists precisely to resolve that riddle, not to deepen it. The psalmist does not say "I will speak dark sayings," which would imply he himself lacked understanding; he says he will open his mouth in illustration and thereby explain, or make clear, what has been dark. Jesus makes exactly this same point in Matthew 13: the parables are given "that seeing they may see, and not perceive" to those outside, but to disciples "it is given to know the mysteries of the kingdom" — the dark saying and its resolution operating together as two halves of a single teaching method, not as two unrelated categories, and not as evidence that Jesus deliberately hid the truth from anyone who genuinely sought it.</w:t>
      </w:r>
    </w:p>
    <w:p>
      <w:pPr>
        <w:spacing w:after="200" w:before="360"/>
      </w:pPr>
      <w:r>
        <w:rPr>
          <w:b/>
          <w:bCs/>
          <w:sz w:val="26"/>
          <w:szCs w:val="26"/>
        </w:rPr>
        <w:t xml:space="preserve">"Mystery" (Musterion) Consistently Points Back to the Old Testament</w:t>
      </w:r>
    </w:p>
    <w:p>
      <w:pPr>
        <w:spacing w:after="200"/>
        <w:ind w:firstLine="432"/>
        <w:jc w:val="both"/>
      </w:pPr>
      <w:r>
        <w:rPr>
          <w:sz w:val="24"/>
          <w:szCs w:val="24"/>
        </w:rPr>
        <w:t xml:space="preserve">Across Paul's letters, "mystery" — the fellowship of the mystery (Ephesians 3:9), the mystery of Christ (Ephesians 3:4; Colossians 4:3), the great mystery concerning Christ and the church (Ephesians 5:32), the mystery of the gospel (Ephesians 6:19), the mystery of iniquity (2 Thessalonians 2:7), the mystery of the faith (1 Timothy 3:9), the mystery of godliness (1 Timothy 3:16), the mystery revealed to the apostle (Romans 11:25; 16:25; 1 Corinthians 2:1, 7) — consistently refers back to something long anticipated in, yet not fully understood from, the Old Testament, now disclosed rather than newly invented. The word never denotes something inherently mysterious or unknowable in itself; it denotes something that was, until properly taught, hidden in the limited understanding of its hearers.</w:t>
      </w:r>
    </w:p>
    <w:p>
      <w:pPr>
        <w:spacing w:after="0" w:before="200"/>
      </w:pPr>
      <w:r>
        <w:rPr>
          <w:b/>
          <w:bCs/>
          <w:sz w:val="24"/>
          <w:szCs w:val="24"/>
        </w:rPr>
        <w:t xml:space="preserve">1 Corinthians 14:2</w:t>
      </w:r>
    </w:p>
    <w:p>
      <w:pPr>
        <w:spacing w:after="0"/>
        <w:ind w:left="432"/>
      </w:pPr>
      <w:r>
        <w:rPr>
          <w:sz w:val="24"/>
          <w:szCs w:val="24"/>
        </w:rPr>
        <w:t xml:space="preserve">[2]For he that speaketh in an unknown tongue speaketh not unto men, but unto God: for no man understandeth him; howbeit in the spirit he speaketh mysteries.</w:t>
      </w:r>
    </w:p>
    <w:p>
      <w:pPr>
        <w:spacing w:after="0" w:before="200"/>
      </w:pPr>
      <w:r>
        <w:rPr>
          <w:b/>
          <w:bCs/>
          <w:sz w:val="24"/>
          <w:szCs w:val="24"/>
        </w:rPr>
        <w:t xml:space="preserve">Isaiah 28:11</w:t>
      </w:r>
    </w:p>
    <w:p>
      <w:pPr>
        <w:spacing w:after="0"/>
        <w:ind w:left="432"/>
      </w:pPr>
      <w:r>
        <w:rPr>
          <w:sz w:val="24"/>
          <w:szCs w:val="24"/>
        </w:rPr>
        <w:t xml:space="preserve">[11]For with stammering lips and another tongue will he speak to this people.</w:t>
      </w:r>
    </w:p>
    <w:p>
      <w:pPr>
        <w:spacing w:after="200"/>
        <w:ind w:firstLine="432"/>
        <w:jc w:val="both"/>
      </w:pPr>
      <w:r>
        <w:rPr>
          <w:sz w:val="24"/>
          <w:szCs w:val="24"/>
        </w:rPr>
        <w:t xml:space="preserve">Paul's calling tongues a "mystery" draws on precisely this Old Testament background — the "other tongue" of Isaiah 28, a stammering, mocking form of speech tied there to judgment upon unbelief, itself tracing back further still to the confusion of tongues at Babel (Genesis 11) — a form of communication unintelligible, and even an object of mockery, to unbelief, yet fully intelligible between the Spirit and the one who prays in it. What Scripture calls a mystery, throughout, is something dark to unbelief and clear to faith, not something God has deliberately concealed from any sincere seeker.</w:t>
      </w:r>
    </w:p>
    <w:p>
      <w:pPr>
        <w:spacing w:after="200" w:before="360"/>
      </w:pPr>
      <w:r>
        <w:rPr>
          <w:b/>
          <w:bCs/>
          <w:sz w:val="26"/>
          <w:szCs w:val="26"/>
        </w:rPr>
        <w:t xml:space="preserve">"God Is Love" Is an Old Testament Conclusion, Not a New Testament Correction</w:t>
      </w:r>
    </w:p>
    <w:p>
      <w:pPr>
        <w:spacing w:after="0" w:before="200"/>
      </w:pPr>
      <w:r>
        <w:rPr>
          <w:b/>
          <w:bCs/>
          <w:sz w:val="24"/>
          <w:szCs w:val="24"/>
        </w:rPr>
        <w:t xml:space="preserve">Malachi 3:6, 8</w:t>
      </w:r>
    </w:p>
    <w:p>
      <w:pPr>
        <w:spacing w:after="0"/>
        <w:ind w:left="432"/>
      </w:pPr>
      <w:r>
        <w:rPr>
          <w:sz w:val="24"/>
          <w:szCs w:val="24"/>
        </w:rPr>
        <w:t xml:space="preserve">[6]For I am the Lord, I change not; therefore ye sons of Jacob are not consumed.</w:t>
      </w:r>
    </w:p>
    <w:p>
      <w:pPr>
        <w:spacing w:after="0"/>
        <w:ind w:left="432"/>
      </w:pPr>
      <w:r>
        <w:rPr>
          <w:sz w:val="24"/>
          <w:szCs w:val="24"/>
        </w:rPr>
        <w:t xml:space="preserve">[8]Will a man rob God? Yet ye have robbed me...</w:t>
      </w:r>
    </w:p>
    <w:p>
      <w:pPr>
        <w:spacing w:after="200"/>
        <w:ind w:firstLine="432"/>
        <w:jc w:val="both"/>
      </w:pPr>
      <w:r>
        <w:rPr>
          <w:sz w:val="24"/>
          <w:szCs w:val="24"/>
        </w:rPr>
        <w:t xml:space="preserve">The Hebrew </w:t>
      </w:r>
      <w:r>
        <w:rPr>
          <w:i/>
          <w:iCs/>
          <w:sz w:val="24"/>
          <w:szCs w:val="24"/>
        </w:rPr>
        <w:t xml:space="preserve">shanah</w:t>
      </w:r>
      <w:r>
        <w:rPr>
          <w:sz w:val="24"/>
          <w:szCs w:val="24"/>
        </w:rPr>
        <w:t xml:space="preserve">, "change," used here, occurs some twenty-eight times across the Old Testament with a range of senses — a second occasion, a doubling, an alteration, a disguise — and seals, in this verse, an entirely consistent divine character across time: it is precisely because God does not change that Jacob's sons still exist to be addressed at all. The divine name Yahweh, moreover, signals the redemptive thread running from Genesis onward, even where the name itself was not yet historically uttered by the patriarchs in the way later generations understood it (compare Exodus 6:2-3).</w:t>
      </w:r>
    </w:p>
    <w:p>
      <w:pPr>
        <w:spacing w:after="0" w:before="200"/>
      </w:pPr>
      <w:r>
        <w:rPr>
          <w:b/>
          <w:bCs/>
          <w:sz w:val="24"/>
          <w:szCs w:val="24"/>
        </w:rPr>
        <w:t xml:space="preserve">Psalm 30:5</w:t>
      </w:r>
    </w:p>
    <w:p>
      <w:pPr>
        <w:spacing w:after="0"/>
        <w:ind w:left="432"/>
      </w:pPr>
      <w:r>
        <w:rPr>
          <w:sz w:val="24"/>
          <w:szCs w:val="24"/>
        </w:rPr>
        <w:t xml:space="preserve">[5]...his anger endureth but a moment; in his favour is life: weeping may endure for a night, but joy cometh in the morning.</w:t>
      </w:r>
    </w:p>
    <w:p>
      <w:pPr>
        <w:spacing w:after="0" w:before="200"/>
      </w:pPr>
      <w:r>
        <w:rPr>
          <w:b/>
          <w:bCs/>
          <w:sz w:val="24"/>
          <w:szCs w:val="24"/>
        </w:rPr>
        <w:t xml:space="preserve">Matthew 22:37-40</w:t>
      </w:r>
    </w:p>
    <w:p>
      <w:pPr>
        <w:spacing w:after="0"/>
        <w:ind w:left="432"/>
      </w:pPr>
      <w:r>
        <w:rPr>
          <w:sz w:val="24"/>
          <w:szCs w:val="24"/>
        </w:rPr>
        <w:t xml:space="preserve">[37]...Thou shalt love the Lord thy God with all thy heart, and with all thy soul, and with all thy mind.</w:t>
      </w:r>
    </w:p>
    <w:p>
      <w:pPr>
        <w:spacing w:after="0"/>
        <w:ind w:left="432"/>
      </w:pPr>
      <w:r>
        <w:rPr>
          <w:sz w:val="24"/>
          <w:szCs w:val="24"/>
        </w:rPr>
        <w:t xml:space="preserve">[38]This is the first and great commandment.</w:t>
      </w:r>
    </w:p>
    <w:p>
      <w:pPr>
        <w:spacing w:after="0"/>
        <w:ind w:left="432"/>
      </w:pPr>
      <w:r>
        <w:rPr>
          <w:sz w:val="24"/>
          <w:szCs w:val="24"/>
        </w:rPr>
        <w:t xml:space="preserve">[39]And the second is like unto it, Thou shalt love thy neighbour as thyself.</w:t>
      </w:r>
    </w:p>
    <w:p>
      <w:pPr>
        <w:spacing w:after="0"/>
        <w:ind w:left="432"/>
      </w:pPr>
      <w:r>
        <w:rPr>
          <w:sz w:val="24"/>
          <w:szCs w:val="24"/>
        </w:rPr>
        <w:t xml:space="preserve">[40]On these two commandments hang all the law and the prophets.</w:t>
      </w:r>
    </w:p>
    <w:p>
      <w:pPr>
        <w:spacing w:after="200"/>
        <w:ind w:firstLine="432"/>
        <w:jc w:val="both"/>
      </w:pPr>
      <w:r>
        <w:rPr>
          <w:sz w:val="24"/>
          <w:szCs w:val="24"/>
        </w:rPr>
        <w:t xml:space="preserve">This is the conclusion of a properly taught law, arrived at only by genuine teaching rather than a casual glance at the text, not a novel replacement of the law — which is why Paul can say, without any sense of correcting or improving upon the Old Testament, that "love is the fulfilling of the law" (Romans 13:10). When Jesus says, in Matthew 5:43-48, "ye have heard... but I say unto you, Love your enemies," he is not overturning Moses but reworking the interpretation already current in his hearers' own world (compare Leviticus 19:18; 11:44, "be ye holy," rendered by Jesus as "be ye perfect," using the same underlying concept in a form his own hearers could immediately grasp).</w:t>
      </w:r>
    </w:p>
    <w:p>
      <w:pPr>
        <w:spacing w:after="200" w:before="360"/>
      </w:pPr>
      <w:r>
        <w:rPr>
          <w:b/>
          <w:bCs/>
          <w:sz w:val="26"/>
          <w:szCs w:val="26"/>
        </w:rPr>
        <w:t xml:space="preserve">Moses and Jonah Already Knew God's Compassionate Character</w:t>
      </w:r>
    </w:p>
    <w:p>
      <w:pPr>
        <w:spacing w:after="200"/>
        <w:ind w:firstLine="432"/>
        <w:jc w:val="both"/>
      </w:pPr>
      <w:r>
        <w:rPr>
          <w:sz w:val="24"/>
          <w:szCs w:val="24"/>
        </w:rPr>
        <w:t xml:space="preserve">Jonah, sent to warn Nineveh, resents the outcome of his own preaching precisely because he already knows, and states outright to God as the very reason for his displeasure, that God is "a gracious God, and merciful, slow to anger, and of great kindness, and repentest thee of the evil" (Jonah 4:2) — language echoing, almost word for word, Moses' own description of God's character to Israel after the incident of the golden calf (compare Exodus 34:6-7). The revelation of a compassionate God, in other words, long precedes the four Gospels by many centuries; what changes across the Testaments is not the character disclosed but the clarity of the language used to disclose it, since the language of the Gospels sits far closer to a modern reader's own idiom than the Hebrew of the Torah and the prophets does.</w:t>
      </w:r>
    </w:p>
    <w:p>
      <w:pPr>
        <w:spacing w:after="200" w:before="360"/>
      </w:pPr>
      <w:r>
        <w:rPr>
          <w:b/>
          <w:bCs/>
          <w:sz w:val="26"/>
          <w:szCs w:val="26"/>
        </w:rPr>
        <w:t xml:space="preserve">2 Samuel 24:1 and 1 Chronicles 21:1: The Same Event in Two Idioms</w:t>
      </w:r>
    </w:p>
    <w:p>
      <w:pPr>
        <w:spacing w:after="0" w:before="200"/>
      </w:pPr>
      <w:r>
        <w:rPr>
          <w:b/>
          <w:bCs/>
          <w:sz w:val="24"/>
          <w:szCs w:val="24"/>
        </w:rPr>
        <w:t xml:space="preserve">2 Samuel 24:1</w:t>
      </w:r>
    </w:p>
    <w:p>
      <w:pPr>
        <w:spacing w:after="0"/>
        <w:ind w:left="432"/>
      </w:pPr>
      <w:r>
        <w:rPr>
          <w:sz w:val="24"/>
          <w:szCs w:val="24"/>
        </w:rPr>
        <w:t xml:space="preserve">[1]And again the anger of the Lord was kindled against Israel, and he moved David against them to say, Go, number Israel and Judah.</w:t>
      </w:r>
    </w:p>
    <w:p>
      <w:pPr>
        <w:spacing w:after="0" w:before="200"/>
      </w:pPr>
      <w:r>
        <w:rPr>
          <w:b/>
          <w:bCs/>
          <w:sz w:val="24"/>
          <w:szCs w:val="24"/>
        </w:rPr>
        <w:t xml:space="preserve">1 Chronicles 21:1</w:t>
      </w:r>
    </w:p>
    <w:p>
      <w:pPr>
        <w:spacing w:after="0"/>
        <w:ind w:left="432"/>
      </w:pPr>
      <w:r>
        <w:rPr>
          <w:sz w:val="24"/>
          <w:szCs w:val="24"/>
        </w:rPr>
        <w:t xml:space="preserve">[1]And Satan stood up against Israel, and provoked David to number Israel.</w:t>
      </w:r>
    </w:p>
    <w:p>
      <w:pPr>
        <w:spacing w:after="200"/>
        <w:ind w:firstLine="432"/>
        <w:jc w:val="both"/>
      </w:pPr>
      <w:r>
        <w:rPr>
          <w:sz w:val="24"/>
          <w:szCs w:val="24"/>
        </w:rPr>
        <w:t xml:space="preserve">The same event is described in two different idioms in two books written centuries apart — Second Samuel, generally dated to around 1120 BC, using the earlier permissive Hebraism ("he moved David"), and First Chronicles, written considerably later, closer to 450 BC and after the Babylonian exile, offering a more explicit identification of the actual agent, Satan, who is named directly. As Hebrew language and its available vocabulary developed over these intervening centuries — plausibly influenced by Israel's exposure to a wider Near Eastern vocabulary for spiritual beings during the Babylonian captivity — later writers such as Ezra, believed to be the author or compiler of Chronicles, grew more explicit about agency without changing the underlying fact in the slightest: God did not directly move David to sin. The earlier idiom simply attributes to God, in the customary summary fashion of Hebrew narrative, an outcome that he did not prevent, precisely because Hebrew narrative style, out of reverence, will not detach God's name from any event at all, even one in which his actual role was to have withdrawn rather than acted.</w:t>
      </w:r>
    </w:p>
    <w:p>
      <w:pPr>
        <w:spacing w:after="200" w:before="360"/>
      </w:pPr>
      <w:r>
        <w:rPr>
          <w:b/>
          <w:bCs/>
          <w:sz w:val="26"/>
          <w:szCs w:val="26"/>
        </w:rPr>
        <w:t xml:space="preserve">The Lord's Prayer: "Lead Us Not into Temptation"</w:t>
      </w:r>
    </w:p>
    <w:p>
      <w:pPr>
        <w:spacing w:after="0" w:before="200"/>
      </w:pPr>
      <w:r>
        <w:rPr>
          <w:b/>
          <w:bCs/>
          <w:sz w:val="24"/>
          <w:szCs w:val="24"/>
        </w:rPr>
        <w:t xml:space="preserve">Matthew 6:13</w:t>
      </w:r>
    </w:p>
    <w:p>
      <w:pPr>
        <w:spacing w:after="0"/>
        <w:ind w:left="432"/>
      </w:pPr>
      <w:r>
        <w:rPr>
          <w:sz w:val="24"/>
          <w:szCs w:val="24"/>
        </w:rPr>
        <w:t xml:space="preserve">[13]And lead us not into temptation, but deliver us from evil...</w:t>
      </w:r>
    </w:p>
    <w:p>
      <w:pPr>
        <w:spacing w:after="200"/>
        <w:ind w:firstLine="432"/>
        <w:jc w:val="both"/>
      </w:pPr>
      <w:r>
        <w:rPr>
          <w:sz w:val="24"/>
          <w:szCs w:val="24"/>
        </w:rPr>
        <w:t xml:space="preserve">The clause is better understood, as later correction of its translation has suggested — a correction reportedly endorsed even by a modern pope regarding the wording used in liturgical translation — as "let us not be led into temptation" or "do not let us fall into temptation," rather than as a request that God himself refrain from actively leading someone into sin. The source of temptation, throughout the rest of Scripture, is consistently identified as "the evil one," never God, with God cast instead as the one who delivers rather than the one who tempts (compare James 1:13-14, which explicitly and categorically denies that God tempts anyone, tracing all temptation instead to a person's own inward lust, drawing him away and enticing him).</w:t>
      </w:r>
    </w:p>
    <w:p>
      <w:pPr>
        <w:spacing w:after="200" w:before="360"/>
      </w:pPr>
      <w:r>
        <w:rPr>
          <w:b/>
          <w:bCs/>
          <w:sz w:val="26"/>
          <w:szCs w:val="26"/>
        </w:rPr>
        <w:t xml:space="preserve">Isaiah 53 and the Death of Jesus: "It Pleased the Lord to Bruise Him"</w:t>
      </w:r>
    </w:p>
    <w:p>
      <w:pPr>
        <w:spacing w:after="0" w:before="200"/>
      </w:pPr>
      <w:r>
        <w:rPr>
          <w:b/>
          <w:bCs/>
          <w:sz w:val="24"/>
          <w:szCs w:val="24"/>
        </w:rPr>
        <w:t xml:space="preserve">Isaiah 53:3, 10</w:t>
      </w:r>
    </w:p>
    <w:p>
      <w:pPr>
        <w:spacing w:after="0"/>
        <w:ind w:left="432"/>
      </w:pPr>
      <w:r>
        <w:rPr>
          <w:sz w:val="24"/>
          <w:szCs w:val="24"/>
        </w:rPr>
        <w:t xml:space="preserve">[3]He is despised and rejected of men; a man of sorrows, and acquainted with grief: and we hid as it were our faces from him; he was despised, and we esteemed him not.</w:t>
      </w:r>
    </w:p>
    <w:p>
      <w:pPr>
        <w:spacing w:after="0"/>
        <w:ind w:left="432"/>
      </w:pPr>
      <w:r>
        <w:rPr>
          <w:sz w:val="24"/>
          <w:szCs w:val="24"/>
        </w:rPr>
        <w:t xml:space="preserve">[10]Yet it pleased the Lord to bruise him; he hath put him to grief: when thou shalt make his soul an offering for sin, he shall see his seed, he shall prolong his days, and the pleasure of the Lord shall prosper in his hand.</w:t>
      </w:r>
    </w:p>
    <w:p>
      <w:pPr>
        <w:spacing w:after="200"/>
        <w:ind w:firstLine="432"/>
        <w:jc w:val="both"/>
      </w:pPr>
      <w:r>
        <w:rPr>
          <w:sz w:val="24"/>
          <w:szCs w:val="24"/>
        </w:rPr>
        <w:t xml:space="preserve">Read alongside verse 3 — rejection and grief inflicted specifically by men, who hid their faces from him and esteemed him not — "it pleased the Lord to bruise him" is idiomatic for permission, not active infliction: God is credited, in the customary summary idiom, with an outcome he allowed to happen at the hands of wicked men rather than one he personally and directly carried out.</w:t>
      </w:r>
    </w:p>
    <w:p>
      <w:pPr>
        <w:spacing w:after="0" w:before="200"/>
      </w:pPr>
      <w:r>
        <w:rPr>
          <w:b/>
          <w:bCs/>
          <w:sz w:val="24"/>
          <w:szCs w:val="24"/>
        </w:rPr>
        <w:t xml:space="preserve">Acts 2:22-23</w:t>
      </w:r>
    </w:p>
    <w:p>
      <w:pPr>
        <w:spacing w:after="0"/>
        <w:ind w:left="432"/>
      </w:pPr>
      <w:r>
        <w:rPr>
          <w:sz w:val="24"/>
          <w:szCs w:val="24"/>
        </w:rPr>
        <w:t xml:space="preserve">[22]...Jesus of Nazareth, a man approved of God among you by miracles and wonders and signs, which God did by him in the midst of you, as ye yourselves also know:</w:t>
      </w:r>
    </w:p>
    <w:p>
      <w:pPr>
        <w:spacing w:after="0"/>
        <w:ind w:left="432"/>
      </w:pPr>
      <w:r>
        <w:rPr>
          <w:sz w:val="24"/>
          <w:szCs w:val="24"/>
        </w:rPr>
        <w:t xml:space="preserve">[23]Him, being delivered by the determinate counsel and foreknowledge of God, ye have taken, and by wicked hands have crucified and slain:</w:t>
      </w:r>
    </w:p>
    <w:p>
      <w:pPr>
        <w:spacing w:after="200"/>
        <w:ind w:firstLine="432"/>
        <w:jc w:val="both"/>
      </w:pPr>
      <w:r>
        <w:rPr>
          <w:sz w:val="24"/>
          <w:szCs w:val="24"/>
        </w:rPr>
        <w:t xml:space="preserve">The Greek verb behind "delivered," </w:t>
      </w:r>
      <w:r>
        <w:rPr>
          <w:i/>
          <w:iCs/>
          <w:sz w:val="24"/>
          <w:szCs w:val="24"/>
        </w:rPr>
        <w:t xml:space="preserve">paradidōmi</w:t>
      </w:r>
      <w:r>
        <w:rPr>
          <w:sz w:val="24"/>
          <w:szCs w:val="24"/>
        </w:rPr>
        <w:t xml:space="preserve">, is the very word used elsewhere of Judas's own act of betrayal — the same word describing an act of surrender or abandonment to another's hands, not a word implying active participation in the wickedness that followed. To say God "delivered up" Jesus, by determinate counsel and foreknowledge, is to say God had foreseen and, in his own sovereign purpose, permitted what "wicked hands" then carried out — not that God authored or performed the wicked hands' own actions.</w:t>
      </w:r>
    </w:p>
    <w:p>
      <w:pPr>
        <w:spacing w:after="0" w:before="200"/>
      </w:pPr>
      <w:r>
        <w:rPr>
          <w:b/>
          <w:bCs/>
          <w:sz w:val="24"/>
          <w:szCs w:val="24"/>
        </w:rPr>
        <w:t xml:space="preserve">Romans 8:32</w:t>
      </w:r>
    </w:p>
    <w:p>
      <w:pPr>
        <w:spacing w:after="0"/>
        <w:ind w:left="432"/>
      </w:pPr>
      <w:r>
        <w:rPr>
          <w:sz w:val="24"/>
          <w:szCs w:val="24"/>
        </w:rPr>
        <w:t xml:space="preserve">[32]He that spared not his own Son, but delivered him up for us all, how shall he not with him also freely give us all things?</w:t>
      </w:r>
    </w:p>
    <w:p>
      <w:pPr>
        <w:spacing w:after="0" w:before="200"/>
      </w:pPr>
      <w:r>
        <w:rPr>
          <w:b/>
          <w:bCs/>
          <w:sz w:val="24"/>
          <w:szCs w:val="24"/>
        </w:rPr>
        <w:t xml:space="preserve">Matthew 27:46</w:t>
      </w:r>
    </w:p>
    <w:p>
      <w:pPr>
        <w:spacing w:after="0"/>
        <w:ind w:left="432"/>
      </w:pPr>
      <w:r>
        <w:rPr>
          <w:sz w:val="24"/>
          <w:szCs w:val="24"/>
        </w:rPr>
        <w:t xml:space="preserve">[46]...My God, my God, why hast thou forsaken me?</w:t>
      </w:r>
    </w:p>
    <w:p>
      <w:pPr>
        <w:spacing w:after="200"/>
        <w:ind w:firstLine="432"/>
        <w:jc w:val="both"/>
      </w:pPr>
      <w:r>
        <w:rPr>
          <w:sz w:val="24"/>
          <w:szCs w:val="24"/>
        </w:rPr>
        <w:t xml:space="preserve">This cry from the cross, itself a direct quotation of Psalm 22:1, is best read as rhetorical lament rather than a literal claim that the eternal relationship within the Trinity had been metaphysically ruptured — an expression of abandonment to the hands of sinful men in that hour of suffering, not a statement that the Father had turned away in active hostility toward the Son.</w:t>
      </w:r>
    </w:p>
    <w:p>
      <w:pPr>
        <w:spacing w:after="0" w:before="200"/>
      </w:pPr>
      <w:r>
        <w:rPr>
          <w:b/>
          <w:bCs/>
          <w:sz w:val="24"/>
          <w:szCs w:val="24"/>
        </w:rPr>
        <w:t xml:space="preserve">John 19:11</w:t>
      </w:r>
    </w:p>
    <w:p>
      <w:pPr>
        <w:spacing w:after="0"/>
        <w:ind w:left="432"/>
      </w:pPr>
      <w:r>
        <w:rPr>
          <w:sz w:val="24"/>
          <w:szCs w:val="24"/>
        </w:rPr>
        <w:t xml:space="preserve">[11]...Thou couldest have no power at all against me, except it were given thee from above...</w:t>
      </w:r>
    </w:p>
    <w:p>
      <w:pPr>
        <w:spacing w:after="200"/>
        <w:ind w:firstLine="432"/>
        <w:jc w:val="both"/>
      </w:pPr>
      <w:r>
        <w:rPr>
          <w:sz w:val="24"/>
          <w:szCs w:val="24"/>
        </w:rPr>
        <w:t xml:space="preserve">"Given... from above" here signals permission — the withholding of intervention that could otherwise have prevented Pilate's action entirely — not active divine endorsement of Pilate's authority to condemn an innocent man to death.</w:t>
      </w:r>
    </w:p>
    <w:p>
      <w:pPr>
        <w:spacing w:after="200" w:before="360"/>
      </w:pPr>
      <w:r>
        <w:rPr>
          <w:b/>
          <w:bCs/>
          <w:sz w:val="26"/>
          <w:szCs w:val="26"/>
        </w:rPr>
        <w:t xml:space="preserve">Joseph: Triumph over Evil, Not Endorsement of It</w:t>
      </w:r>
    </w:p>
    <w:p>
      <w:pPr>
        <w:spacing w:after="0" w:before="200"/>
      </w:pPr>
      <w:r>
        <w:rPr>
          <w:b/>
          <w:bCs/>
          <w:sz w:val="24"/>
          <w:szCs w:val="24"/>
        </w:rPr>
        <w:t xml:space="preserve">Genesis 45:7-8</w:t>
      </w:r>
    </w:p>
    <w:p>
      <w:pPr>
        <w:spacing w:after="0"/>
        <w:ind w:left="432"/>
      </w:pPr>
      <w:r>
        <w:rPr>
          <w:sz w:val="24"/>
          <w:szCs w:val="24"/>
        </w:rPr>
        <w:t xml:space="preserve">[7]And God sent me before you to preserve you a posterity in the earth, and to save your lives by a great deliverance.</w:t>
      </w:r>
    </w:p>
    <w:p>
      <w:pPr>
        <w:spacing w:after="0"/>
        <w:ind w:left="432"/>
      </w:pPr>
      <w:r>
        <w:rPr>
          <w:sz w:val="24"/>
          <w:szCs w:val="24"/>
        </w:rPr>
        <w:t xml:space="preserve">[8]So now it was not you that sent me hither, but God: and he hath made me a father to Pharaoh, and lord of all his house, and a ruler throughout all the land of Egypt.</w:t>
      </w:r>
    </w:p>
    <w:p>
      <w:pPr>
        <w:spacing w:after="0" w:before="200"/>
      </w:pPr>
      <w:r>
        <w:rPr>
          <w:b/>
          <w:bCs/>
          <w:sz w:val="24"/>
          <w:szCs w:val="24"/>
        </w:rPr>
        <w:t xml:space="preserve">Genesis 50:20</w:t>
      </w:r>
    </w:p>
    <w:p>
      <w:pPr>
        <w:spacing w:after="0"/>
        <w:ind w:left="432"/>
      </w:pPr>
      <w:r>
        <w:rPr>
          <w:sz w:val="24"/>
          <w:szCs w:val="24"/>
        </w:rPr>
        <w:t xml:space="preserve">[20]But as for you, ye thought evil against me; but God meant it unto good, to bring to pass, as it is this day, to save much people alive.</w:t>
      </w:r>
    </w:p>
    <w:p>
      <w:pPr>
        <w:spacing w:after="200"/>
        <w:ind w:firstLine="432"/>
        <w:jc w:val="both"/>
      </w:pPr>
      <w:r>
        <w:rPr>
          <w:sz w:val="24"/>
          <w:szCs w:val="24"/>
        </w:rPr>
        <w:t xml:space="preserve">Joseph speaks, in both passages, from the vantage point of the very end of the story — describing how God triumphed over the evil his brothers had actually and deliberately intended (Genesis 37:18-20 records their explicit plotting to kill him, restrained only by Reuben's and then Judah's intervention, before they finally sold him into slavery instead) — not describing how God orchestrated that evil from the outset for his own purposes. To read this as God's direct authorship of his brothers' envy and betrayal — a reading later "Reformed" theology has been tempted to draw from precisely such texts, treating them as proof that God simply arranges evil to bring about his desired good — is to reverse the entire point of the passage, since Acts 7:9 confirms it was the brothers, "moved with envy," who sold Joseph, envy being nowhere in Scripture attributed to God (compare 1 Corinthians 13:4, "love envieth not"; Galatians 5:19-21, envy numbered among the works of the flesh). God is praised here for overruling evil he did not originate, not for having authored it in the first place so that he might later display his cleverness in overcoming it.</w:t>
      </w:r>
    </w:p>
    <w:p>
      <w:pPr>
        <w:spacing w:after="0" w:before="200"/>
      </w:pPr>
      <w:r>
        <w:rPr>
          <w:b/>
          <w:bCs/>
          <w:sz w:val="24"/>
          <w:szCs w:val="24"/>
        </w:rPr>
        <w:t xml:space="preserve">Romans 8:28</w:t>
      </w:r>
    </w:p>
    <w:p>
      <w:pPr>
        <w:spacing w:after="0"/>
        <w:ind w:left="432"/>
      </w:pPr>
      <w:r>
        <w:rPr>
          <w:sz w:val="24"/>
          <w:szCs w:val="24"/>
        </w:rPr>
        <w:t xml:space="preserve">[28]And we know that all things work together for good to them that love God, to them who are the called according to his purpose.</w:t>
      </w:r>
    </w:p>
    <w:p>
      <w:pPr>
        <w:spacing w:after="200"/>
        <w:ind w:firstLine="432"/>
        <w:jc w:val="both"/>
      </w:pPr>
      <w:r>
        <w:rPr>
          <w:sz w:val="24"/>
          <w:szCs w:val="24"/>
        </w:rPr>
        <w:t xml:space="preserve">Read in its own context, following directly upon Paul's extended argument in Romans 5 through 8 about sin, death, and the indwelling Spirit, this describes God's power to bring good out of evil circumstances he did not himself cause or ordain — the triumph of grace over sin already accomplished at the cross, applied now to the ongoing life of the believer — not divine partnership with, or authorship of, sin.</w:t>
      </w:r>
    </w:p>
    <w:p>
      <w:pPr>
        <w:spacing w:after="200" w:before="360"/>
      </w:pPr>
      <w:r>
        <w:rPr>
          <w:b/>
          <w:bCs/>
          <w:sz w:val="26"/>
          <w:szCs w:val="26"/>
        </w:rPr>
        <w:t xml:space="preserve">A Historical Line of Witnesses against Making God the Author of Sin</w:t>
      </w:r>
    </w:p>
    <w:p>
      <w:pPr>
        <w:spacing w:after="200"/>
        <w:ind w:firstLine="432"/>
        <w:jc w:val="both"/>
      </w:pPr>
      <w:r>
        <w:rPr>
          <w:sz w:val="24"/>
          <w:szCs w:val="24"/>
        </w:rPr>
        <w:t xml:space="preserve">This distinction between God's active will and God's permissive foreknowledge is not a modern invention devised to rescue an embarrassing text. Philip Melanchthon, a close contemporary and collaborator of Martin Luther who did not always share Luther's own occasional oscillations toward a stronger doctrine of divine determinism, insisted that God is the preserver of nature and the restorer of life and motion, not the author of the devil's lie or of the sin that misuses that life and motion, since Christ himself identifies the devil, not God, as the one who speaks a lie "of his own," the father of lies. Thomas Aquinas, writing centuries earlier, held as a matter of settled doctrine that what happens by divine permission is very often described in Scripture using language that sounds, on its surface, as though God performed the act directly, even though, on Aquinas's own careful reading, he did not. A later English minister, Thomas Pearce, made the same point specifically with reference to Old Testament instances such as Shimei's cursing of David, or the pollution of the sanctuary, or the various wars attributed to God's command: such texts, he argued, must be expounded by recognizing a Hebraism whereby many verbs that sound active in form are permissive in their true sense and application — active in sound, but not in fact. Even Martin Luther himself, for all his tendency elsewhere toward a stronger view of divine sovereignty, could attribute sickness and calamity in his own writing to the devil's use of natural means, rather than to God directly, comparing the devil's use of poisoned air to a murderer's use of a sword, and turned to earnest prayer for healing on exactly that basis when his own close friend Melanchthon fell dangerously ill, reminding God in prayer of his own promises to heal the sick.</w:t>
      </w:r>
    </w:p>
    <w:p>
      <w:pPr>
        <w:spacing w:after="200"/>
        <w:ind w:firstLine="432"/>
        <w:jc w:val="both"/>
      </w:pPr>
      <w:r>
        <w:rPr>
          <w:sz w:val="24"/>
          <w:szCs w:val="24"/>
        </w:rPr>
        <w:t xml:space="preserve">Later Reformed and Calvinist theology, however, collapsed this careful and historically well-established distinction, teaching instead that whatever God permits, he thereby also decrees and wills in the fullest active sense — a position advanced by prominent Reformed teachers, past and present, that in effect makes God the author of the sin he elsewhere condemns and punishes. This same faulty theology has, historically, been used to justify some of the church's worst and most shameful failures — including, in one especially clear and well-documented historical instance, theological arguments constructed to defend racial apartheid, which claimed explicit scriptural sanction for treating human beings differently according to race, on the premise that whatever social arrangement existed must, by definition, reflect God's own sovereign will and design.</w:t>
      </w:r>
    </w:p>
    <w:p>
      <w:pPr>
        <w:spacing w:after="200" w:before="360"/>
      </w:pPr>
      <w:r>
        <w:rPr>
          <w:b/>
          <w:bCs/>
          <w:sz w:val="26"/>
          <w:szCs w:val="26"/>
        </w:rPr>
        <w:t xml:space="preserve">Distinguishing the Will of God from the Knowledge of God</w:t>
      </w:r>
    </w:p>
    <w:p>
      <w:pPr>
        <w:spacing w:after="200"/>
        <w:ind w:firstLine="432"/>
        <w:jc w:val="both"/>
      </w:pPr>
      <w:r>
        <w:rPr>
          <w:sz w:val="24"/>
          <w:szCs w:val="24"/>
        </w:rPr>
        <w:t xml:space="preserve">God's will is properly found within God's knowledge, but God's knowledge is considerably broader than God's will — it includes his full and exhaustive awareness of what man wills and what man's choices will produce, without every foreseen consequence of those choices thereby becoming something God has actively willed into being. Sin arises from the will of man and of the devil, not from any compulsion or authorship on God's part; destruction, correspondingly, is man's own doing, in keeping with the consistent Old Testament testimony that a man's ruin comes from himself, while help is found only in God (compare Hosea 13:9).</w:t>
      </w:r>
    </w:p>
    <w:p>
      <w:pPr>
        <w:spacing w:after="200" w:before="360"/>
      </w:pPr>
      <w:r>
        <w:rPr>
          <w:b/>
          <w:bCs/>
          <w:sz w:val="26"/>
          <w:szCs w:val="26"/>
        </w:rPr>
        <w:t xml:space="preserve">Conclusion</w:t>
      </w:r>
    </w:p>
    <w:p>
      <w:pPr>
        <w:spacing w:after="200"/>
        <w:ind w:firstLine="432"/>
        <w:jc w:val="both"/>
      </w:pPr>
      <w:r>
        <w:rPr>
          <w:sz w:val="24"/>
          <w:szCs w:val="24"/>
        </w:rPr>
        <w:t xml:space="preserve">Properly read, in its own Hebraic idiom and in light of how that idiom develops and clarifies across the Old and New Testaments alike, Scripture never actually presents God as the author of evil, sin, or death — even in those texts whose surface grammar, taken as woodenly and hastily as modern English idiom would take it, might seem at first glance to suggest otherwise. The love, compassion, and faithfulness attributed to God so movingly in the New Testament is the very same love, compassion, and faithfulness already fully and consistently present, if less immediately legible to a hurried modern reader, throughout every book of the Old Testament from Genesis onward.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2026-07-14T07:25:56.331Z</dcterms:created>
  <dcterms:modified xsi:type="dcterms:W3CDTF">2026-07-14T07:25:56.332Z</dcterms:modified>
</cp:coreProperties>
</file>

<file path=docProps/custom.xml><?xml version="1.0" encoding="utf-8"?>
<Properties xmlns="http://schemas.openxmlformats.org/officeDocument/2006/custom-properties" xmlns:vt="http://schemas.openxmlformats.org/officeDocument/2006/docPropsVTypes"/>
</file>