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16</w:t>
      </w:r>
    </w:p>
    <w:p>
      <w:pPr>
        <w:spacing w:after="360"/>
        <w:jc w:val="center"/>
      </w:pPr>
      <w:r>
        <w:rPr>
          <w:b/>
          <w:bCs/>
          <w:sz w:val="32"/>
          <w:szCs w:val="32"/>
        </w:rPr>
        <w:t xml:space="preserve">Promise, Not Covenant: The Logos, the Written Book, and Righteousness as God's Promised Justice</w:t>
      </w:r>
    </w:p>
    <w:p>
      <w:pPr>
        <w:spacing w:after="200" w:before="360"/>
      </w:pPr>
      <w:r>
        <w:rPr>
          <w:b/>
          <w:bCs/>
          <w:sz w:val="26"/>
          <w:szCs w:val="26"/>
        </w:rPr>
        <w:t xml:space="preserve">"Promise" Rather Than "Covenant": A More Accurate Unifier</w:t>
      </w:r>
    </w:p>
    <w:p>
      <w:pPr>
        <w:spacing w:after="0" w:before="200"/>
      </w:pPr>
      <w:r>
        <w:rPr>
          <w:b/>
          <w:bCs/>
          <w:sz w:val="24"/>
          <w:szCs w:val="24"/>
        </w:rPr>
        <w:t xml:space="preserve">Hebrews 6:13, 17-18</w:t>
      </w:r>
    </w:p>
    <w:p>
      <w:pPr>
        <w:spacing w:after="0"/>
        <w:ind w:left="432"/>
      </w:pPr>
      <w:r>
        <w:rPr>
          <w:sz w:val="24"/>
          <w:szCs w:val="24"/>
        </w:rPr>
        <w:t xml:space="preserve">[13]For when God made promise to Abraham, because he could swear by no greater, he sware by himself,</w:t>
      </w:r>
    </w:p>
    <w:p>
      <w:pPr>
        <w:spacing w:after="0"/>
        <w:ind w:left="432"/>
      </w:pPr>
      <w:r>
        <w:rPr>
          <w:sz w:val="24"/>
          <w:szCs w:val="24"/>
        </w:rPr>
        <w:t xml:space="preserve">[17]...God, willing more abundantly to shew unto the heirs of promise the immutability of his counsel, confirmed it by an oath:</w:t>
      </w:r>
    </w:p>
    <w:p>
      <w:pPr>
        <w:spacing w:after="0"/>
        <w:ind w:left="432"/>
      </w:pPr>
      <w:r>
        <w:rPr>
          <w:sz w:val="24"/>
          <w:szCs w:val="24"/>
        </w:rPr>
        <w:t xml:space="preserve">[18]That by two immutable things, in which it was impossible for God to lie, we might have a strong consolation...</w:t>
      </w:r>
    </w:p>
    <w:p>
      <w:pPr>
        <w:spacing w:after="200"/>
        <w:ind w:firstLine="432"/>
        <w:jc w:val="both"/>
      </w:pPr>
      <w:r>
        <w:rPr>
          <w:sz w:val="24"/>
          <w:szCs w:val="24"/>
        </w:rPr>
        <w:t xml:space="preserve">The writer of Hebrews, though elsewhere he uses the Greek </w:t>
      </w:r>
      <w:r>
        <w:rPr>
          <w:i/>
          <w:iCs/>
          <w:sz w:val="24"/>
          <w:szCs w:val="24"/>
        </w:rPr>
        <w:t xml:space="preserve">diathēkē</w:t>
      </w:r>
      <w:r>
        <w:rPr>
          <w:sz w:val="24"/>
          <w:szCs w:val="24"/>
        </w:rPr>
        <w:t xml:space="preserve">, "covenant," resorts here to the more characteristically Pauline term </w:t>
      </w:r>
      <w:r>
        <w:rPr>
          <w:i/>
          <w:iCs/>
          <w:sz w:val="24"/>
          <w:szCs w:val="24"/>
        </w:rPr>
        <w:t xml:space="preserve">epangelia</w:t>
      </w:r>
      <w:r>
        <w:rPr>
          <w:sz w:val="24"/>
          <w:szCs w:val="24"/>
        </w:rPr>
        <w:t xml:space="preserve">, "promise" — a commitment made unilaterally by one party who binds himself, rather than a mutual contract between two parties each bearing terms. "Old covenant" and "new covenant" invite the misleading suggestion that one party defaulted on agreed terms and therefore had to be replaced by an entirely different arrangement negotiated afresh; "promise," by contrast, cannot properly be called either old or new, since a promise's substance does not change with the passage of time — only the state of its fulfillment, awaited or realized, changes. The clearer unifying category across the whole of Scripture, then, is a single promise, given once at the very outset, and fulfilled progressively across the whole subsequent narrative of both Testaments.</w:t>
      </w:r>
    </w:p>
    <w:p>
      <w:pPr>
        <w:spacing w:after="200" w:before="360"/>
      </w:pPr>
      <w:r>
        <w:rPr>
          <w:b/>
          <w:bCs/>
          <w:sz w:val="26"/>
          <w:szCs w:val="26"/>
        </w:rPr>
        <w:t xml:space="preserve">From Spoken Torah to Written Book</w:t>
      </w:r>
    </w:p>
    <w:p>
      <w:pPr>
        <w:spacing w:after="200"/>
        <w:ind w:firstLine="432"/>
        <w:jc w:val="both"/>
      </w:pPr>
      <w:r>
        <w:rPr>
          <w:sz w:val="24"/>
          <w:szCs w:val="24"/>
        </w:rPr>
        <w:t xml:space="preserve">Before Moses, God's Torah — instruction, promise, judgment — existed almost entirely as oral tradition, passed by fathers to their children exactly as instructed in Deuteronomy 11; the term "book," Hebrew </w:t>
      </w:r>
      <w:r>
        <w:rPr>
          <w:i/>
          <w:iCs/>
          <w:sz w:val="24"/>
          <w:szCs w:val="24"/>
        </w:rPr>
        <w:t xml:space="preserve">sepher</w:t>
      </w:r>
      <w:r>
        <w:rPr>
          <w:sz w:val="24"/>
          <w:szCs w:val="24"/>
        </w:rPr>
        <w:t xml:space="preserve">, marks a decisive shift to written record, a shift owed directly to Moses' own formal education, since there is no earlier instance of any patriarch being told to write anything down at all.</w:t>
      </w:r>
    </w:p>
    <w:p>
      <w:pPr>
        <w:spacing w:after="0" w:before="200"/>
      </w:pPr>
      <w:r>
        <w:rPr>
          <w:b/>
          <w:bCs/>
          <w:sz w:val="24"/>
          <w:szCs w:val="24"/>
        </w:rPr>
        <w:t xml:space="preserve">Genesis 5:1</w:t>
      </w:r>
    </w:p>
    <w:p>
      <w:pPr>
        <w:spacing w:after="0"/>
        <w:ind w:left="432"/>
      </w:pPr>
      <w:r>
        <w:rPr>
          <w:sz w:val="24"/>
          <w:szCs w:val="24"/>
        </w:rPr>
        <w:t xml:space="preserve">[1]This is the book of the generations of Adam. In the day that God created man, in the likeness of God made he him;</w:t>
      </w:r>
    </w:p>
    <w:p>
      <w:pPr>
        <w:spacing w:after="0" w:before="200"/>
      </w:pPr>
      <w:r>
        <w:rPr>
          <w:b/>
          <w:bCs/>
          <w:sz w:val="24"/>
          <w:szCs w:val="24"/>
        </w:rPr>
        <w:t xml:space="preserve">Exodus 17:14</w:t>
      </w:r>
    </w:p>
    <w:p>
      <w:pPr>
        <w:spacing w:after="0"/>
        <w:ind w:left="432"/>
      </w:pPr>
      <w:r>
        <w:rPr>
          <w:sz w:val="24"/>
          <w:szCs w:val="24"/>
        </w:rPr>
        <w:t xml:space="preserve">[14]And the Lord said unto Moses, Write this for a memorial in a book, and rehearse it in the ears of Joshua: for I will utterly put out the remembrance of Amalek from under heaven.</w:t>
      </w:r>
    </w:p>
    <w:p>
      <w:pPr>
        <w:spacing w:after="0" w:before="200"/>
      </w:pPr>
      <w:r>
        <w:rPr>
          <w:b/>
          <w:bCs/>
          <w:sz w:val="24"/>
          <w:szCs w:val="24"/>
        </w:rPr>
        <w:t xml:space="preserve">Exodus 24:7</w:t>
      </w:r>
    </w:p>
    <w:p>
      <w:pPr>
        <w:spacing w:after="0"/>
        <w:ind w:left="432"/>
      </w:pPr>
      <w:r>
        <w:rPr>
          <w:sz w:val="24"/>
          <w:szCs w:val="24"/>
        </w:rPr>
        <w:t xml:space="preserve">[7]And he took the book of the covenant, and read in the audience of the people: and they said, All that the Lord hath said will we do, and be obedient.</w:t>
      </w:r>
    </w:p>
    <w:p>
      <w:pPr>
        <w:spacing w:after="0" w:before="200"/>
      </w:pPr>
      <w:r>
        <w:rPr>
          <w:b/>
          <w:bCs/>
          <w:sz w:val="24"/>
          <w:szCs w:val="24"/>
        </w:rPr>
        <w:t xml:space="preserve">Exodus 32:32-33</w:t>
      </w:r>
    </w:p>
    <w:p>
      <w:pPr>
        <w:spacing w:after="0"/>
        <w:ind w:left="432"/>
      </w:pPr>
      <w:r>
        <w:rPr>
          <w:sz w:val="24"/>
          <w:szCs w:val="24"/>
        </w:rPr>
        <w:t xml:space="preserve">[32]Yet now, if thou wilt forgive their sin—; and if not, blot me, I pray thee, out of thy book which thou hast written.</w:t>
      </w:r>
    </w:p>
    <w:p>
      <w:pPr>
        <w:spacing w:after="0"/>
        <w:ind w:left="432"/>
      </w:pPr>
      <w:r>
        <w:rPr>
          <w:sz w:val="24"/>
          <w:szCs w:val="24"/>
        </w:rPr>
        <w:t xml:space="preserve">[33]And the Lord said unto Moses, Whosoever hath sinned against me, him will I blot out of my book.</w:t>
      </w:r>
    </w:p>
    <w:p>
      <w:pPr>
        <w:spacing w:after="200"/>
        <w:ind w:firstLine="432"/>
        <w:jc w:val="both"/>
      </w:pPr>
      <w:r>
        <w:rPr>
          <w:sz w:val="24"/>
          <w:szCs w:val="24"/>
        </w:rPr>
        <w:t xml:space="preserve">This figurative "book" of Exodus 32 — the same figure later developed as "the book of life" throughout the rest of Scripture (compare Psalm 56:8; Daniel 12:1; Philippians 4:3; Revelation 3:5; 17:8; 21:27) — has nothing to do with a physical ledger anywhere in existence; it is Moses' own literary device for depicting divine record-keeping in written, rather than merely oral, terms, precisely because writing, by his own day and by virtue of his own Egyptian education, had become the mark of instruction taken with full seriousness, worthy of preservation beyond a single generation's memory.</w:t>
      </w:r>
    </w:p>
    <w:p>
      <w:pPr>
        <w:spacing w:after="200" w:before="360"/>
      </w:pPr>
      <w:r>
        <w:rPr>
          <w:b/>
          <w:bCs/>
          <w:sz w:val="26"/>
          <w:szCs w:val="26"/>
        </w:rPr>
        <w:t xml:space="preserve">Genesis as Doctrine: Deliberate Pairs of Faith and Unbelief</w:t>
      </w:r>
    </w:p>
    <w:p>
      <w:pPr>
        <w:spacing w:after="200"/>
        <w:ind w:firstLine="432"/>
        <w:jc w:val="both"/>
      </w:pPr>
      <w:r>
        <w:rPr>
          <w:sz w:val="24"/>
          <w:szCs w:val="24"/>
        </w:rPr>
        <w:t xml:space="preserve">Genesis 5, "the book of the generations of Adam," deliberately sets two genealogies side by side within the very same chapter: mankind made in the likeness of God (verse 1), and then Adam's own son Seth made "in his own likeness, after his image" (verse 3) — establishing, by this deliberate parallel construction, the very contrast Paul later develops explicitly in Romans 5:12-14 between the original created humanity and its fallen continuation. From this point on, Moses systematically and deliberately presents further contrasting pairs throughout the whole of Genesis: Cain and Abel, Ishmael and Isaac, Jacob and Esau — this is not simply a family history recorded for its own sake but a deliberate teaching device, establishing, from the very outset of the whole biblical narrative, the origin of faith and unbelief, of righteousness and unrighteousness, standing side by side within the very same family, so that no later reader could suppose that faith or unbelief was determined merely by ancestry rather than by each individual's own response to God.</w:t>
      </w:r>
    </w:p>
    <w:p>
      <w:pPr>
        <w:spacing w:after="200" w:before="360"/>
      </w:pPr>
      <w:r>
        <w:rPr>
          <w:b/>
          <w:bCs/>
          <w:sz w:val="26"/>
          <w:szCs w:val="26"/>
        </w:rPr>
        <w:t xml:space="preserve">The Logos Was Not John's Invention: Psalm 33 and the Dabar of God</w:t>
      </w:r>
    </w:p>
    <w:p>
      <w:pPr>
        <w:spacing w:after="0" w:before="200"/>
      </w:pPr>
      <w:r>
        <w:rPr>
          <w:b/>
          <w:bCs/>
          <w:sz w:val="24"/>
          <w:szCs w:val="24"/>
        </w:rPr>
        <w:t xml:space="preserve">Psalm 33:4, 6, 9</w:t>
      </w:r>
    </w:p>
    <w:p>
      <w:pPr>
        <w:spacing w:after="0"/>
        <w:ind w:left="432"/>
      </w:pPr>
      <w:r>
        <w:rPr>
          <w:sz w:val="24"/>
          <w:szCs w:val="24"/>
        </w:rPr>
        <w:t xml:space="preserve">[4]For the word of the Lord is right; and all his works are done in truth.</w:t>
      </w:r>
    </w:p>
    <w:p>
      <w:pPr>
        <w:spacing w:after="0"/>
        <w:ind w:left="432"/>
      </w:pPr>
      <w:r>
        <w:rPr>
          <w:sz w:val="24"/>
          <w:szCs w:val="24"/>
        </w:rPr>
        <w:t xml:space="preserve">[6]By the word of the Lord were the heavens made; and all the host of them by the breath of his mouth.</w:t>
      </w:r>
    </w:p>
    <w:p>
      <w:pPr>
        <w:spacing w:after="0"/>
        <w:ind w:left="432"/>
      </w:pPr>
      <w:r>
        <w:rPr>
          <w:sz w:val="24"/>
          <w:szCs w:val="24"/>
        </w:rPr>
        <w:t xml:space="preserve">[9]For he spake, and it was done; he commanded, and it stood fast.</w:t>
      </w:r>
    </w:p>
    <w:p>
      <w:pPr>
        <w:spacing w:after="0" w:before="200"/>
      </w:pPr>
      <w:r>
        <w:rPr>
          <w:b/>
          <w:bCs/>
          <w:sz w:val="24"/>
          <w:szCs w:val="24"/>
        </w:rPr>
        <w:t xml:space="preserve">John 1:1</w:t>
      </w:r>
    </w:p>
    <w:p>
      <w:pPr>
        <w:spacing w:after="0"/>
        <w:ind w:left="432"/>
      </w:pPr>
      <w:r>
        <w:rPr>
          <w:sz w:val="24"/>
          <w:szCs w:val="24"/>
        </w:rPr>
        <w:t xml:space="preserve">[1]In the beginning was the Word, and the Word was with God, and the Word was God.</w:t>
      </w:r>
    </w:p>
    <w:p>
      <w:pPr>
        <w:spacing w:after="200"/>
        <w:ind w:firstLine="432"/>
        <w:jc w:val="both"/>
      </w:pPr>
      <w:r>
        <w:rPr>
          <w:sz w:val="24"/>
          <w:szCs w:val="24"/>
        </w:rPr>
        <w:t xml:space="preserve">The claim, advanced by some critics, that John simply borrowed a Greek philosophical concept of </w:t>
      </w:r>
      <w:r>
        <w:rPr>
          <w:i/>
          <w:iCs/>
          <w:sz w:val="24"/>
          <w:szCs w:val="24"/>
        </w:rPr>
        <w:t xml:space="preserve">logos</w:t>
      </w:r>
      <w:r>
        <w:rPr>
          <w:sz w:val="24"/>
          <w:szCs w:val="24"/>
        </w:rPr>
        <w:t xml:space="preserve"> current among writers such as Heraclitus, entirely foreign to the Old Testament, and thereby invented the deity of Christ decades after the events themselves purely as a later theological development, does not survive contact with the Hebrew </w:t>
      </w:r>
      <w:r>
        <w:rPr>
          <w:i/>
          <w:iCs/>
          <w:sz w:val="24"/>
          <w:szCs w:val="24"/>
        </w:rPr>
        <w:t xml:space="preserve">dabar</w:t>
      </w:r>
      <w:r>
        <w:rPr>
          <w:sz w:val="24"/>
          <w:szCs w:val="24"/>
        </w:rPr>
        <w:t xml:space="preserve">, rendered by the Septuagint as </w:t>
      </w:r>
      <w:r>
        <w:rPr>
          <w:i/>
          <w:iCs/>
          <w:sz w:val="24"/>
          <w:szCs w:val="24"/>
        </w:rPr>
        <w:t xml:space="preserve">logos</w:t>
      </w:r>
      <w:r>
        <w:rPr>
          <w:sz w:val="24"/>
          <w:szCs w:val="24"/>
        </w:rPr>
        <w:t xml:space="preserve"> many generations before John ever wrote a word — the same </w:t>
      </w:r>
      <w:r>
        <w:rPr>
          <w:i/>
          <w:iCs/>
          <w:sz w:val="24"/>
          <w:szCs w:val="24"/>
        </w:rPr>
        <w:t xml:space="preserve">dabar</w:t>
      </w:r>
      <w:r>
        <w:rPr>
          <w:sz w:val="24"/>
          <w:szCs w:val="24"/>
        </w:rPr>
        <w:t xml:space="preserve"> by which the heavens were made in Genesis 1:1, already personified in Psalm 33 as an active, effective, world-creating utterance that speaks and thereby brings something into being, exactly as John describes. Psalm 36:9, too, already anticipates this same logic: "in thy light we see light," establishing a background of consistency behind everything the psalmist says elsewhere. The claim that Jesus' own followers manufactured his deity out of a later theological need, decades removed from the events, requires ignoring that the very vocabulary John uses already carried precisely this creative and personal weight throughout the Hebrew Scriptures for many centuries before he ever picked up a pen — this is systematic theology carried forward faithfully, not theological innovation borrowed from a pagan source.</w:t>
      </w:r>
    </w:p>
    <w:p>
      <w:pPr>
        <w:spacing w:after="200" w:before="360"/>
      </w:pPr>
      <w:r>
        <w:rPr>
          <w:b/>
          <w:bCs/>
          <w:sz w:val="26"/>
          <w:szCs w:val="26"/>
        </w:rPr>
        <w:t xml:space="preserve">Deuteronomy 30 Restates Genesis 2-3</w:t>
      </w:r>
    </w:p>
    <w:p>
      <w:pPr>
        <w:spacing w:after="0" w:before="200"/>
      </w:pPr>
      <w:r>
        <w:rPr>
          <w:b/>
          <w:bCs/>
          <w:sz w:val="24"/>
          <w:szCs w:val="24"/>
        </w:rPr>
        <w:t xml:space="preserve">Deuteronomy 30:11, 14</w:t>
      </w:r>
    </w:p>
    <w:p>
      <w:pPr>
        <w:spacing w:after="0"/>
        <w:ind w:left="432"/>
      </w:pPr>
      <w:r>
        <w:rPr>
          <w:sz w:val="24"/>
          <w:szCs w:val="24"/>
        </w:rPr>
        <w:t xml:space="preserve">[11]For this commandment which I command thee this day, it is not hidden from thee, neither is it far off.</w:t>
      </w:r>
    </w:p>
    <w:p>
      <w:pPr>
        <w:spacing w:after="0"/>
        <w:ind w:left="432"/>
      </w:pPr>
      <w:r>
        <w:rPr>
          <w:sz w:val="24"/>
          <w:szCs w:val="24"/>
        </w:rPr>
        <w:t xml:space="preserve">[14]But the word is very nigh unto thee, in thy mouth, and in thy heart, that thou mayest do it.</w:t>
      </w:r>
    </w:p>
    <w:p>
      <w:pPr>
        <w:spacing w:after="200"/>
        <w:ind w:firstLine="432"/>
        <w:jc w:val="both"/>
      </w:pPr>
      <w:r>
        <w:rPr>
          <w:sz w:val="24"/>
          <w:szCs w:val="24"/>
        </w:rPr>
        <w:t xml:space="preserve">The "word," </w:t>
      </w:r>
      <w:r>
        <w:rPr>
          <w:i/>
          <w:iCs/>
          <w:sz w:val="24"/>
          <w:szCs w:val="24"/>
        </w:rPr>
        <w:t xml:space="preserve">dabar</w:t>
      </w:r>
      <w:r>
        <w:rPr>
          <w:sz w:val="24"/>
          <w:szCs w:val="24"/>
        </w:rPr>
        <w:t xml:space="preserve">, said here to be near at hand in Deuteronomy 30 deliberately restates the very same "life and death, good and evil" choice already given at the beginning in Genesis 2:16-17 — Deuteronomy functioning, quite literally, as a second law addressed to a still largely unbelieving generation standing on the plains of Moab, echoing the same fundamental test given at the very beginning of human history in the garden.</w:t>
      </w:r>
    </w:p>
    <w:p>
      <w:pPr>
        <w:spacing w:after="0" w:before="200"/>
      </w:pPr>
      <w:r>
        <w:rPr>
          <w:b/>
          <w:bCs/>
          <w:sz w:val="24"/>
          <w:szCs w:val="24"/>
        </w:rPr>
        <w:t xml:space="preserve">Romans 10:6, 8</w:t>
      </w:r>
    </w:p>
    <w:p>
      <w:pPr>
        <w:spacing w:after="0"/>
        <w:ind w:left="432"/>
      </w:pPr>
      <w:r>
        <w:rPr>
          <w:sz w:val="24"/>
          <w:szCs w:val="24"/>
        </w:rPr>
        <w:t xml:space="preserve">[6]...Say not in thine heart, Who shall ascend into heaven? (that is, to bring Christ down from above:)</w:t>
      </w:r>
    </w:p>
    <w:p>
      <w:pPr>
        <w:spacing w:after="0"/>
        <w:ind w:left="432"/>
      </w:pPr>
      <w:r>
        <w:rPr>
          <w:sz w:val="24"/>
          <w:szCs w:val="24"/>
        </w:rPr>
        <w:t xml:space="preserve">[8]...The word is nigh thee, even in thy mouth, and in thy heart: that is, the word of faith, which we preach;</w:t>
      </w:r>
    </w:p>
    <w:p>
      <w:pPr>
        <w:spacing w:after="200"/>
        <w:ind w:firstLine="432"/>
        <w:jc w:val="both"/>
      </w:pPr>
      <w:r>
        <w:rPr>
          <w:sz w:val="24"/>
          <w:szCs w:val="24"/>
        </w:rPr>
        <w:t xml:space="preserve">Paul's own quotation of this very text in Romans 10, set within his extended and deeply personal address to Israel across Romans 9 through 11 (compare Romans 9:1-3, his own heaviness and continual sorrow of heart for his kinsmen according to the flesh, whom he says he could wish himself accursed from Christ for their sake), consciously and deliberately replays Moses' own address to a disobedient nation — Paul standing, in effect, in Moses' own position relative to his own generation of Israel, using Jacob and Esau, Isaac and Ishmael, and the whole narrative apparatus of Genesis to make his case about a remnant chosen by grace rather than by mere physical descent.</w:t>
      </w:r>
    </w:p>
    <w:p>
      <w:pPr>
        <w:spacing w:after="200" w:before="360"/>
      </w:pPr>
      <w:r>
        <w:rPr>
          <w:b/>
          <w:bCs/>
          <w:sz w:val="26"/>
          <w:szCs w:val="26"/>
        </w:rPr>
        <w:t xml:space="preserve">"Law" Requires Disambiguation: Sin and Death, or Faith and the Spirit</w:t>
      </w:r>
    </w:p>
    <w:p>
      <w:pPr>
        <w:spacing w:after="0" w:before="200"/>
      </w:pPr>
      <w:r>
        <w:rPr>
          <w:b/>
          <w:bCs/>
          <w:sz w:val="24"/>
          <w:szCs w:val="24"/>
        </w:rPr>
        <w:t xml:space="preserve">Galatians 3:19</w:t>
      </w:r>
    </w:p>
    <w:p>
      <w:pPr>
        <w:spacing w:after="0"/>
        <w:ind w:left="432"/>
      </w:pPr>
      <w:r>
        <w:rPr>
          <w:sz w:val="24"/>
          <w:szCs w:val="24"/>
        </w:rPr>
        <w:t xml:space="preserve">[19]Wherefore then serveth the law? It was added because of transgressions, till the seed should come to whom the promise was made; and it was ordained by angels in the hand of a mediator.</w:t>
      </w:r>
    </w:p>
    <w:p>
      <w:pPr>
        <w:spacing w:after="0" w:before="200"/>
      </w:pPr>
      <w:r>
        <w:rPr>
          <w:b/>
          <w:bCs/>
          <w:sz w:val="24"/>
          <w:szCs w:val="24"/>
        </w:rPr>
        <w:t xml:space="preserve">Romans 8:3-4</w:t>
      </w:r>
    </w:p>
    <w:p>
      <w:pPr>
        <w:spacing w:after="0"/>
        <w:ind w:left="432"/>
      </w:pPr>
      <w:r>
        <w:rPr>
          <w:sz w:val="24"/>
          <w:szCs w:val="24"/>
        </w:rPr>
        <w:t xml:space="preserve">[3]For what the law could not do, in that it was weak through the flesh, God sending his own Son in the likeness of sinful flesh, and for sin, condemned sin in the flesh:</w:t>
      </w:r>
    </w:p>
    <w:p>
      <w:pPr>
        <w:spacing w:after="0"/>
        <w:ind w:left="432"/>
      </w:pPr>
      <w:r>
        <w:rPr>
          <w:sz w:val="24"/>
          <w:szCs w:val="24"/>
        </w:rPr>
        <w:t xml:space="preserve">[4]That the righteousness of the law might be fulfilled in us, who walk not after the flesh, but after the Spirit.</w:t>
      </w:r>
    </w:p>
    <w:p>
      <w:pPr>
        <w:spacing w:after="200"/>
        <w:ind w:firstLine="432"/>
        <w:jc w:val="both"/>
      </w:pPr>
      <w:r>
        <w:rPr>
          <w:sz w:val="24"/>
          <w:szCs w:val="24"/>
        </w:rPr>
        <w:t xml:space="preserve">Both "the law of sin and death" and "the law of the Spirit of life in Christ Jesus" (Romans 8:2) trace back to the very same Genesis 2-3 narrative — the law of sin and death describing precisely what happens wherever the underlying law of faith is broken, not a separate divine institution imposed alongside it or in competition with it. The various rituals, ceremonial, commercial, and marital "laws" borrowed from surrounding cultures and adapted by Moses belong to what "the law could not do" in Paul's phrase; what those outward forms alone could never achieve is achieved instead, and only, by the Spirit — which is precisely why the very same single word "law" can, within the very same breath of the same sentence, describe both a burden that condemns and its own eventual resolution in Christ, depending entirely on which aspect of that complex Mosaic instruction is meant in a given instance.</w:t>
      </w:r>
    </w:p>
    <w:p>
      <w:pPr>
        <w:spacing w:after="0" w:before="200"/>
      </w:pPr>
      <w:r>
        <w:rPr>
          <w:b/>
          <w:bCs/>
          <w:sz w:val="24"/>
          <w:szCs w:val="24"/>
        </w:rPr>
        <w:t xml:space="preserve">Matthew 19:8</w:t>
      </w:r>
    </w:p>
    <w:p>
      <w:pPr>
        <w:spacing w:after="0"/>
        <w:ind w:left="432"/>
      </w:pPr>
      <w:r>
        <w:rPr>
          <w:sz w:val="24"/>
          <w:szCs w:val="24"/>
        </w:rPr>
        <w:t xml:space="preserve">[8]...Moses because of the hardness of your hearts suffered you to put away your wives: but from the beginning it was not so.</w:t>
      </w:r>
    </w:p>
    <w:p>
      <w:pPr>
        <w:spacing w:after="200"/>
        <w:ind w:firstLine="432"/>
        <w:jc w:val="both"/>
      </w:pPr>
      <w:r>
        <w:rPr>
          <w:sz w:val="24"/>
          <w:szCs w:val="24"/>
        </w:rPr>
        <w:t xml:space="preserve">Moses' own permission for divorce did not originate from him arbitrarily, as though he simply preferred it that way, but reflected and accommodated a heart already unwilling to keep the underlying law of faith — precisely the permissive idiom examined throughout this whole study, here explicitly named as such by Jesus himself using the very word "suffered," permitted, rather than any word implying original institution.</w:t>
      </w:r>
    </w:p>
    <w:p>
      <w:pPr>
        <w:spacing w:after="200" w:before="360"/>
      </w:pPr>
      <w:r>
        <w:rPr>
          <w:b/>
          <w:bCs/>
          <w:sz w:val="26"/>
          <w:szCs w:val="26"/>
        </w:rPr>
        <w:t xml:space="preserve">Righteousness as God's Promised Justice: Uniting, Not Merely Pardoning</w:t>
      </w:r>
    </w:p>
    <w:p>
      <w:pPr>
        <w:spacing w:after="0" w:before="200"/>
      </w:pPr>
      <w:r>
        <w:rPr>
          <w:b/>
          <w:bCs/>
          <w:sz w:val="24"/>
          <w:szCs w:val="24"/>
        </w:rPr>
        <w:t xml:space="preserve">Romans 3:29-31</w:t>
      </w:r>
    </w:p>
    <w:p>
      <w:pPr>
        <w:spacing w:after="0"/>
        <w:ind w:left="432"/>
      </w:pPr>
      <w:r>
        <w:rPr>
          <w:sz w:val="24"/>
          <w:szCs w:val="24"/>
        </w:rPr>
        <w:t xml:space="preserve">[29]Is he the God of the Jews only? is he not also of the Gentiles? Yes, of the Gentiles also:</w:t>
      </w:r>
    </w:p>
    <w:p>
      <w:pPr>
        <w:spacing w:after="0"/>
        <w:ind w:left="432"/>
      </w:pPr>
      <w:r>
        <w:rPr>
          <w:sz w:val="24"/>
          <w:szCs w:val="24"/>
        </w:rPr>
        <w:t xml:space="preserve">[30]Seeing it is one God, which shall justify the circumcision by faith, and uncircumcision through faith.</w:t>
      </w:r>
    </w:p>
    <w:p>
      <w:pPr>
        <w:spacing w:after="0"/>
        <w:ind w:left="432"/>
      </w:pPr>
      <w:r>
        <w:rPr>
          <w:sz w:val="24"/>
          <w:szCs w:val="24"/>
        </w:rPr>
        <w:t xml:space="preserve">[31]Do we then make void the law through faith? God forbid: yea, we establish the law.</w:t>
      </w:r>
    </w:p>
    <w:p>
      <w:pPr>
        <w:spacing w:after="200"/>
        <w:ind w:firstLine="432"/>
        <w:jc w:val="both"/>
      </w:pPr>
      <w:r>
        <w:rPr>
          <w:sz w:val="24"/>
          <w:szCs w:val="24"/>
        </w:rPr>
        <w:t xml:space="preserve">The Greek </w:t>
      </w:r>
      <w:r>
        <w:rPr>
          <w:i/>
          <w:iCs/>
          <w:sz w:val="24"/>
          <w:szCs w:val="24"/>
        </w:rPr>
        <w:t xml:space="preserve">dikaiosynē</w:t>
      </w:r>
      <w:r>
        <w:rPr>
          <w:sz w:val="24"/>
          <w:szCs w:val="24"/>
        </w:rPr>
        <w:t xml:space="preserve"> and Hebrew </w:t>
      </w:r>
      <w:r>
        <w:rPr>
          <w:i/>
          <w:iCs/>
          <w:sz w:val="24"/>
          <w:szCs w:val="24"/>
        </w:rPr>
        <w:t xml:space="preserve">tzedakah</w:t>
      </w:r>
      <w:r>
        <w:rPr>
          <w:sz w:val="24"/>
          <w:szCs w:val="24"/>
        </w:rPr>
        <w:t xml:space="preserve">, "righteousness," denote putting right what has gone wrong — restoring rightful order to something that has been thrown out of joint — not merely erasing a legal record of past offenses while leaving everything else untouched. Since what "went wrong," from Genesis onward, was fundamentally humanity's unity, both with God and with one another, and its rightful place within God's created order, righteousness cannot be properly understood without reference to family and to promise: God's righteousness is his promised justice, his own binding commitment to set humanity right, culminating not merely in individual pardon for an individual sinner but in Jew and Gentile united together as a single family without distinction — exactly the emphasis of both Romans and Galatians, the two epistles where the doctrine of righteousness receives its fullest and most sustained treatment, and in both of which the unity of Jew and Gentile is not a side issue but very nearly the central concern.</w:t>
      </w:r>
    </w:p>
    <w:p>
      <w:pPr>
        <w:spacing w:after="0" w:before="200"/>
      </w:pPr>
      <w:r>
        <w:rPr>
          <w:b/>
          <w:bCs/>
          <w:sz w:val="24"/>
          <w:szCs w:val="24"/>
        </w:rPr>
        <w:t xml:space="preserve">Romans 4:24-25</w:t>
      </w:r>
    </w:p>
    <w:p>
      <w:pPr>
        <w:spacing w:after="0"/>
        <w:ind w:left="432"/>
      </w:pPr>
      <w:r>
        <w:rPr>
          <w:sz w:val="24"/>
          <w:szCs w:val="24"/>
        </w:rPr>
        <w:t xml:space="preserve">[24]...it shall be imputed, if we believe on him that raised up Jesus our Lord from the dead;</w:t>
      </w:r>
    </w:p>
    <w:p>
      <w:pPr>
        <w:spacing w:after="0"/>
        <w:ind w:left="432"/>
      </w:pPr>
      <w:r>
        <w:rPr>
          <w:sz w:val="24"/>
          <w:szCs w:val="24"/>
        </w:rPr>
        <w:t xml:space="preserve">[25]Who was delivered for our offences, and was raised again for our justification.</w:t>
      </w:r>
    </w:p>
    <w:p>
      <w:pPr>
        <w:spacing w:after="200"/>
        <w:ind w:firstLine="432"/>
        <w:jc w:val="both"/>
      </w:pPr>
      <w:r>
        <w:rPr>
          <w:sz w:val="24"/>
          <w:szCs w:val="24"/>
        </w:rPr>
        <w:t xml:space="preserve">Romans 4 uses Abraham as the pattern of faith; Romans 5, immediately following, uses Adam as the pattern of unbelief — two deliberately chosen examples set side by side for comparison, not two separate accounts of how biological inheritance functions in two different ways depending on which ancestor is in view. Romans 5:19's "made sinners" and "made righteous," read this way, refer to whose pattern a given person follows by his own choice, not to procreation as such in either case.</w:t>
      </w:r>
    </w:p>
    <w:p>
      <w:pPr>
        <w:spacing w:after="200" w:before="360"/>
      </w:pPr>
      <w:r>
        <w:rPr>
          <w:b/>
          <w:bCs/>
          <w:sz w:val="26"/>
          <w:szCs w:val="26"/>
        </w:rPr>
        <w:t xml:space="preserve">Romans 6-8: The Exodus Retold in Theological Form</w:t>
      </w:r>
    </w:p>
    <w:p>
      <w:pPr>
        <w:spacing w:after="200"/>
        <w:ind w:firstLine="432"/>
        <w:jc w:val="both"/>
      </w:pPr>
      <w:r>
        <w:rPr>
          <w:sz w:val="24"/>
          <w:szCs w:val="24"/>
        </w:rPr>
        <w:t xml:space="preserve">Paul's argument across Romans 6 through 8 systematically retraces the entire Exodus narrative in explicitly theological dress, for an audience of both Jews and Gentiles who together already knew that narrative as their shared frame of reference: Romans 6's teaching on baptism recalls the Red Sea crossing and the decisive movement from bondage in Egypt to freedom in the wilderness; Romans 7's teaching on the law recalls Sinai, where the law was formally given, and where humanity's own condition, described by Paul as "carnal, sold under sin" (Romans 7:14), echoes precisely the hardened wilderness generation Moses himself had to address for forty years; Romans 8's teaching on the law of the Spirit of life recalls the "second law," Deuteronomy, given on the plains of Moab, and the long-awaited entry into the promised inheritance that follows it. Paul is not writing in the abstract, disconnected from any concrete narrative; he is retelling Exodus and Deuteronomy in theological form for a mixed Jewish and Gentile audience, deliberately using their one shared narrative as his controlling frame throughout these three chapters.</w:t>
      </w:r>
    </w:p>
    <w:p>
      <w:pPr>
        <w:spacing w:after="200" w:before="360"/>
      </w:pPr>
      <w:r>
        <w:rPr>
          <w:b/>
          <w:bCs/>
          <w:sz w:val="26"/>
          <w:szCs w:val="26"/>
        </w:rPr>
        <w:t xml:space="preserve">The Temptation of Jesus: All Three Answers Drawn from Deuteronomy</w:t>
      </w:r>
    </w:p>
    <w:p>
      <w:pPr>
        <w:spacing w:after="0" w:before="200"/>
      </w:pPr>
      <w:r>
        <w:rPr>
          <w:b/>
          <w:bCs/>
          <w:sz w:val="24"/>
          <w:szCs w:val="24"/>
        </w:rPr>
        <w:t xml:space="preserve">Matthew 4:4, 7, 10</w:t>
      </w:r>
    </w:p>
    <w:p>
      <w:pPr>
        <w:spacing w:after="0"/>
        <w:ind w:left="432"/>
      </w:pPr>
      <w:r>
        <w:rPr>
          <w:sz w:val="24"/>
          <w:szCs w:val="24"/>
        </w:rPr>
        <w:t xml:space="preserve">[4]...It is written, Man shall not live by bread alone, but by every word that proceedeth out of the mouth of God.</w:t>
      </w:r>
    </w:p>
    <w:p>
      <w:pPr>
        <w:spacing w:after="0"/>
        <w:ind w:left="432"/>
      </w:pPr>
      <w:r>
        <w:rPr>
          <w:sz w:val="24"/>
          <w:szCs w:val="24"/>
        </w:rPr>
        <w:t xml:space="preserve">[7]...It is written again, Thou shalt not tempt the Lord thy God.</w:t>
      </w:r>
    </w:p>
    <w:p>
      <w:pPr>
        <w:spacing w:after="0"/>
        <w:ind w:left="432"/>
      </w:pPr>
      <w:r>
        <w:rPr>
          <w:sz w:val="24"/>
          <w:szCs w:val="24"/>
        </w:rPr>
        <w:t xml:space="preserve">[10]...it is written, Thou shalt worship the Lord thy God, and him only shalt thou serve.</w:t>
      </w:r>
    </w:p>
    <w:p>
      <w:pPr>
        <w:spacing w:after="200"/>
        <w:ind w:firstLine="432"/>
        <w:jc w:val="both"/>
      </w:pPr>
      <w:r>
        <w:rPr>
          <w:sz w:val="24"/>
          <w:szCs w:val="24"/>
        </w:rPr>
        <w:t xml:space="preserve">All three of Jesus' answers to the tempter in the wilderness are drawn, in order, from Deuteronomy 8:3, 6:16, and 6:13 — the very same "second law" originally addressed to a generation tested for faith or unbelief in that same wilderness centuries before. Jesus stands, in this temptation, as a second Adam facing precisely the same test the first Adam failed in the garden and the same test the wilderness generation failed in the desert, but this time answering rightly at every point — his subsequent journey all the way to the cross then demonstrating, in action rather than merely in words, the very faithfulness these three texts require, and thereby fulfilling both halves of the greatest commandment at once: love for God, proven decisively in the temptation, and love for neighbor, proven decisively at Calvary.</w:t>
      </w:r>
    </w:p>
    <w:p>
      <w:pPr>
        <w:spacing w:after="200" w:before="360"/>
      </w:pPr>
      <w:r>
        <w:rPr>
          <w:b/>
          <w:bCs/>
          <w:sz w:val="26"/>
          <w:szCs w:val="26"/>
        </w:rPr>
        <w:t xml:space="preserve">Isaiah 53 and the Two-Fold Explanation of the Cross</w:t>
      </w:r>
    </w:p>
    <w:p>
      <w:pPr>
        <w:spacing w:after="0" w:before="200"/>
      </w:pPr>
      <w:r>
        <w:rPr>
          <w:b/>
          <w:bCs/>
          <w:sz w:val="24"/>
          <w:szCs w:val="24"/>
        </w:rPr>
        <w:t xml:space="preserve">Isaiah 53:4-5</w:t>
      </w:r>
    </w:p>
    <w:p>
      <w:pPr>
        <w:spacing w:after="0"/>
        <w:ind w:left="432"/>
      </w:pPr>
      <w:r>
        <w:rPr>
          <w:sz w:val="24"/>
          <w:szCs w:val="24"/>
        </w:rPr>
        <w:t xml:space="preserve">[4]Surely he hath borne our griefs, and carried our sorrows: yet we did esteem him stricken, smitten of God, and afflicted.</w:t>
      </w:r>
    </w:p>
    <w:p>
      <w:pPr>
        <w:spacing w:after="0"/>
        <w:ind w:left="432"/>
      </w:pPr>
      <w:r>
        <w:rPr>
          <w:sz w:val="24"/>
          <w:szCs w:val="24"/>
        </w:rPr>
        <w:t xml:space="preserve">[5]But he was wounded for our transgressions, he was bruised for our iniquities: the chastisement of our peace was upon him; and with his stripes we are healed.</w:t>
      </w:r>
    </w:p>
    <w:p>
      <w:pPr>
        <w:spacing w:after="200"/>
        <w:ind w:firstLine="432"/>
        <w:jc w:val="both"/>
      </w:pPr>
      <w:r>
        <w:rPr>
          <w:sz w:val="24"/>
          <w:szCs w:val="24"/>
        </w:rPr>
        <w:t xml:space="preserve">The sacrifice of Jesus cannot rightly be explained apart from human wickedness as its immediate, historical cause: "for our transgressions" and "for our iniquities" identify hatred, betrayal, and unjust judgment as the actual, concrete instruments of his suffering, not an abstract transaction performed in some sense apart from, or without reference to, genuine human agency and genuine human sin. God is not credited here with directly and personally wounding his own Son with his own hand; rather, man's own transgression wounded him, and God's own redemptive purpose is fulfilled precisely through that transgression, working it toward good, not apart from it or in spite of some unrelated divine mechanism operating independently of what actually happened at Calvary.</w:t>
      </w:r>
    </w:p>
    <w:p>
      <w:pPr>
        <w:spacing w:after="200" w:before="360"/>
      </w:pPr>
      <w:r>
        <w:rPr>
          <w:b/>
          <w:bCs/>
          <w:sz w:val="26"/>
          <w:szCs w:val="26"/>
        </w:rPr>
        <w:t xml:space="preserve">Conclusion: Sin Existed before Moses Wrote, but Was Not Yet "Imputed"</w:t>
      </w:r>
    </w:p>
    <w:p>
      <w:pPr>
        <w:spacing w:after="0" w:before="200"/>
      </w:pPr>
      <w:r>
        <w:rPr>
          <w:b/>
          <w:bCs/>
          <w:sz w:val="24"/>
          <w:szCs w:val="24"/>
        </w:rPr>
        <w:t xml:space="preserve">Romans 5:13-14</w:t>
      </w:r>
    </w:p>
    <w:p>
      <w:pPr>
        <w:spacing w:after="0"/>
        <w:ind w:left="432"/>
      </w:pPr>
      <w:r>
        <w:rPr>
          <w:sz w:val="24"/>
          <w:szCs w:val="24"/>
        </w:rPr>
        <w:t xml:space="preserve">[13]For until the law sin was in the world: but sin is not imputed when there is no law.</w:t>
      </w:r>
    </w:p>
    <w:p>
      <w:pPr>
        <w:spacing w:after="0"/>
        <w:ind w:left="432"/>
      </w:pPr>
      <w:r>
        <w:rPr>
          <w:sz w:val="24"/>
          <w:szCs w:val="24"/>
        </w:rPr>
        <w:t xml:space="preserve">[14]Nevertheless death reigned from Adam to Moses, even over them that had not sinned after the similitude of Adam's transgression, who is the figure of him that was to come.</w:t>
      </w:r>
    </w:p>
    <w:p>
      <w:pPr>
        <w:spacing w:after="200"/>
        <w:ind w:firstLine="432"/>
        <w:jc w:val="both"/>
      </w:pPr>
      <w:r>
        <w:rPr>
          <w:sz w:val="24"/>
          <w:szCs w:val="24"/>
        </w:rPr>
        <w:t xml:space="preserve">Sin, and even righteousness, both existed long before Moses ever wrote anything down at all (compare Romans 4:3, 5-7 on Abraham's own righteousness by faith, established centuries before the law was given at Sinai); what Moses' act of writing accomplished, for the first time, was to set that pre-existing reality down formally, in the </w:t>
      </w:r>
      <w:r>
        <w:rPr>
          <w:i/>
          <w:iCs/>
          <w:sz w:val="24"/>
          <w:szCs w:val="24"/>
        </w:rPr>
        <w:t xml:space="preserve">sepher</w:t>
      </w:r>
      <w:r>
        <w:rPr>
          <w:sz w:val="24"/>
          <w:szCs w:val="24"/>
        </w:rPr>
        <w:t xml:space="preserve">, the written book — "imputed," Greek </w:t>
      </w:r>
      <w:r>
        <w:rPr>
          <w:i/>
          <w:iCs/>
          <w:sz w:val="24"/>
          <w:szCs w:val="24"/>
        </w:rPr>
        <w:t xml:space="preserve">ellogeō</w:t>
      </w:r>
      <w:r>
        <w:rPr>
          <w:sz w:val="24"/>
          <w:szCs w:val="24"/>
        </w:rPr>
        <w:t xml:space="preserve">, meaning specifically to charge something to one's account in a written ledger, a term that presupposes the very existence of such a written record. Adam's transgression, understood this way, functions throughout Scripture as a pattern of choice repeated by every subsequently hardened heart, not a hereditary sentence mechanically transmitted by the mere biological fact of procreation — the same essential distinction, in the end, that governs every properly systematic reading of Scripture undertaken in this whole series: find the actual actor standing behind a given piece of language, rather than resting content with the mere grammatical subject of the sentence as it happens to appear on the printed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2026-07-14T07:28:35.122Z</dcterms:created>
  <dcterms:modified xsi:type="dcterms:W3CDTF">2026-07-14T07:28:35.125Z</dcterms:modified>
</cp:coreProperties>
</file>

<file path=docProps/custom.xml><?xml version="1.0" encoding="utf-8"?>
<Properties xmlns="http://schemas.openxmlformats.org/officeDocument/2006/custom-properties" xmlns:vt="http://schemas.openxmlformats.org/officeDocument/2006/docPropsVTypes"/>
</file>