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17</w:t>
      </w:r>
    </w:p>
    <w:p>
      <w:pPr>
        <w:spacing w:after="360"/>
        <w:jc w:val="center"/>
      </w:pPr>
      <w:r>
        <w:rPr>
          <w:b/>
          <w:bCs/>
          <w:sz w:val="32"/>
          <w:szCs w:val="32"/>
        </w:rPr>
        <w:t xml:space="preserve">Samael, the Destroyer, and the Unbroken Historical Witness against a God Who Authors Evil</w:t>
      </w:r>
    </w:p>
    <w:p>
      <w:pPr>
        <w:spacing w:after="200" w:before="360"/>
      </w:pPr>
      <w:r>
        <w:rPr>
          <w:b/>
          <w:bCs/>
          <w:sz w:val="26"/>
          <w:szCs w:val="26"/>
        </w:rPr>
        <w:t xml:space="preserve">"Law" Requires Disambiguation: Romans 3 Revisited</w:t>
      </w:r>
    </w:p>
    <w:p>
      <w:pPr>
        <w:spacing w:after="0" w:before="200"/>
      </w:pPr>
      <w:r>
        <w:rPr>
          <w:b/>
          <w:bCs/>
          <w:sz w:val="24"/>
          <w:szCs w:val="24"/>
        </w:rPr>
        <w:t xml:space="preserve">Romans 3:19-21, 27</w:t>
      </w:r>
    </w:p>
    <w:p>
      <w:pPr>
        <w:spacing w:after="0"/>
        <w:ind w:left="432"/>
      </w:pPr>
      <w:r>
        <w:rPr>
          <w:sz w:val="24"/>
          <w:szCs w:val="24"/>
        </w:rPr>
        <w:t xml:space="preserve">[19]...that every mouth may be stopped, and all the world may become guilty before God.</w:t>
      </w:r>
    </w:p>
    <w:p>
      <w:pPr>
        <w:spacing w:after="0"/>
        <w:ind w:left="432"/>
      </w:pPr>
      <w:r>
        <w:rPr>
          <w:sz w:val="24"/>
          <w:szCs w:val="24"/>
        </w:rPr>
        <w:t xml:space="preserve">[20]Therefore by the deeds of the law there shall no flesh be justified in his sight: for by the law is the knowledge of sin.</w:t>
      </w:r>
    </w:p>
    <w:p>
      <w:pPr>
        <w:spacing w:after="0"/>
        <w:ind w:left="432"/>
      </w:pPr>
      <w:r>
        <w:rPr>
          <w:sz w:val="24"/>
          <w:szCs w:val="24"/>
        </w:rPr>
        <w:t xml:space="preserve">[21]But now the righteousness of God without the law is manifested, being witnessed by the law and the prophets...</w:t>
      </w:r>
    </w:p>
    <w:p>
      <w:pPr>
        <w:spacing w:after="0"/>
        <w:ind w:left="432"/>
      </w:pPr>
      <w:r>
        <w:rPr>
          <w:sz w:val="24"/>
          <w:szCs w:val="24"/>
        </w:rPr>
        <w:t xml:space="preserve">[27]Where is boasting then? It is excluded. By what law? of works? Nay: but by the law of faith.</w:t>
      </w:r>
    </w:p>
    <w:p>
      <w:pPr>
        <w:spacing w:after="200"/>
        <w:ind w:firstLine="432"/>
        <w:jc w:val="both"/>
      </w:pPr>
      <w:r>
        <w:rPr>
          <w:sz w:val="24"/>
          <w:szCs w:val="24"/>
        </w:rPr>
        <w:t xml:space="preserve">"Under the law" in verse 19 can mean either under the law of sin and death, because of a hardened heart, or under the law in the sense of being addressed by, and answerable to, the Scriptures generally; here it means the latter, the audience of the law. Notice that "law" shifts sense again within the space of a few verses — the law that exposes and convicts of sin, the law and the prophets that together testify to a righteousness of God that operates apart from that same law's condemning function, and "the law of faith" set explicitly against "the law of works" a few verses later (compare Romans 8:2, "the law of sin and death" against "the law of the Spirit of life in Christ Jesus"). No careful reader can treat "law" as a single fixed referent across Scripture, or even across a single chapter of Scripture; each occurrence must be resolved by its own immediate context, and there is no way around doing this work.</w:t>
      </w:r>
    </w:p>
    <w:p>
      <w:pPr>
        <w:spacing w:after="200" w:before="360"/>
      </w:pPr>
      <w:r>
        <w:rPr>
          <w:b/>
          <w:bCs/>
          <w:sz w:val="26"/>
          <w:szCs w:val="26"/>
        </w:rPr>
        <w:t xml:space="preserve">No Early Interpreter, Jewish or Christian, Discarded Any Old Testament Book</w:t>
      </w:r>
    </w:p>
    <w:p>
      <w:pPr>
        <w:spacing w:after="200"/>
        <w:ind w:firstLine="432"/>
        <w:jc w:val="both"/>
      </w:pPr>
      <w:r>
        <w:rPr>
          <w:sz w:val="24"/>
          <w:szCs w:val="24"/>
        </w:rPr>
        <w:t xml:space="preserve">The twenty-seven New Testament books were themselves authenticated, historically, only insofar as they cohered with the thirty-nine books of the Old Testament already in use and already regarded as authoritative in the days of Jesus; no early Jewish or early Christian teacher treated any portion of the Old Testament as inadmissible, embarrassing, or best quietly set aside. All Scripture, Paul tells Timothy, is given by inspiration of God, </w:t>
      </w:r>
      <w:r>
        <w:rPr>
          <w:i/>
          <w:iCs/>
          <w:sz w:val="24"/>
          <w:szCs w:val="24"/>
        </w:rPr>
        <w:t xml:space="preserve">theopneustos</w:t>
      </w:r>
      <w:r>
        <w:rPr>
          <w:sz w:val="24"/>
          <w:szCs w:val="24"/>
        </w:rPr>
        <w:t xml:space="preserve">, and profitable for doctrine — a claim that, in the context in which Paul wrote it, referred overwhelmingly to the thirty-nine books, since the New Testament canon as such did not yet exist as a completed and formally recognized body of writing. This matters directly for the recurring question of why the Old Testament can seem, on a careless reading, to present an entirely different God than the New Testament does: the answer given consistently by the earliest interpreters, well before Jesus was even born, was never that the Old Testament required correction or replacement, but that its idiom required careful and patient translation into a later, more familiar grammar.</w:t>
      </w:r>
    </w:p>
    <w:p>
      <w:pPr>
        <w:spacing w:after="200" w:before="360"/>
      </w:pPr>
      <w:r>
        <w:rPr>
          <w:b/>
          <w:bCs/>
          <w:sz w:val="26"/>
          <w:szCs w:val="26"/>
        </w:rPr>
        <w:t xml:space="preserve">"The Destroyer": A Distinct Figure Named Already at the Exodus</w:t>
      </w:r>
    </w:p>
    <w:p>
      <w:pPr>
        <w:spacing w:after="0" w:before="200"/>
      </w:pPr>
      <w:r>
        <w:rPr>
          <w:b/>
          <w:bCs/>
          <w:sz w:val="24"/>
          <w:szCs w:val="24"/>
        </w:rPr>
        <w:t xml:space="preserve">Exodus 12:23</w:t>
      </w:r>
    </w:p>
    <w:p>
      <w:pPr>
        <w:spacing w:after="0"/>
        <w:ind w:left="432"/>
      </w:pPr>
      <w:r>
        <w:rPr>
          <w:sz w:val="24"/>
          <w:szCs w:val="24"/>
        </w:rPr>
        <w:t xml:space="preserve">[23]For the Lord will pass through to smite the Egyptians; and when he seeth the blood upon the lintel, and on the two side posts, the Lord will pass over the door, and will not suffer the destroyer to come in unto your houses to smite you.</w:t>
      </w:r>
    </w:p>
    <w:p>
      <w:pPr>
        <w:spacing w:after="0" w:before="200"/>
      </w:pPr>
      <w:r>
        <w:rPr>
          <w:b/>
          <w:bCs/>
          <w:sz w:val="24"/>
          <w:szCs w:val="24"/>
        </w:rPr>
        <w:t xml:space="preserve">1 Corinthians 10:10</w:t>
      </w:r>
    </w:p>
    <w:p>
      <w:pPr>
        <w:spacing w:after="0"/>
        <w:ind w:left="432"/>
      </w:pPr>
      <w:r>
        <w:rPr>
          <w:sz w:val="24"/>
          <w:szCs w:val="24"/>
        </w:rPr>
        <w:t xml:space="preserve">[10]Neither murmur ye, as some of them also murmured, and were destroyed of the destroyer.</w:t>
      </w:r>
    </w:p>
    <w:p>
      <w:pPr>
        <w:spacing w:after="0" w:before="200"/>
      </w:pPr>
      <w:r>
        <w:rPr>
          <w:b/>
          <w:bCs/>
          <w:sz w:val="24"/>
          <w:szCs w:val="24"/>
        </w:rPr>
        <w:t xml:space="preserve">Hebrews 11:28</w:t>
      </w:r>
    </w:p>
    <w:p>
      <w:pPr>
        <w:spacing w:after="0"/>
        <w:ind w:left="432"/>
      </w:pPr>
      <w:r>
        <w:rPr>
          <w:sz w:val="24"/>
          <w:szCs w:val="24"/>
        </w:rPr>
        <w:t xml:space="preserve">[28]Through faith he kept the passover, and the sprinkling of blood, lest he that destroyed the firstborn should touch them.</w:t>
      </w:r>
    </w:p>
    <w:p>
      <w:pPr>
        <w:spacing w:after="200"/>
        <w:ind w:firstLine="432"/>
        <w:jc w:val="both"/>
      </w:pPr>
      <w:r>
        <w:rPr>
          <w:sz w:val="24"/>
          <w:szCs w:val="24"/>
        </w:rPr>
        <w:t xml:space="preserve">Even within Exodus itself, in the very same verse, the text distinguishes the Lord's own action — passing over the door — from that of a wholly separate figure, "the destroyer," whom the Lord's own protection actively holds back from entering the house at all. Paul, writing in Greek to a Corinthian audience, and the writer of Hebrews, writing separately again, both use the identical Greek term for this same figure without any comment or explanation, as though its meaning were already perfectly obvious and needed no introduction — strong evidence that they are simply carrying forward an already well-established reading of Exodus 12, not inventing a new character out of nothing to suit New Testament convenience.</w:t>
      </w:r>
    </w:p>
    <w:p>
      <w:pPr>
        <w:spacing w:after="200" w:before="360"/>
      </w:pPr>
      <w:r>
        <w:rPr>
          <w:b/>
          <w:bCs/>
          <w:sz w:val="26"/>
          <w:szCs w:val="26"/>
        </w:rPr>
        <w:t xml:space="preserve">Ancient Jewish Sources Already Named This Figure before the New Testament</w:t>
      </w:r>
    </w:p>
    <w:p>
      <w:pPr>
        <w:spacing w:after="200"/>
        <w:ind w:firstLine="432"/>
        <w:jc w:val="both"/>
      </w:pPr>
      <w:r>
        <w:rPr>
          <w:sz w:val="24"/>
          <w:szCs w:val="24"/>
        </w:rPr>
        <w:t xml:space="preserve">A wide range of Jewish writings that predate the New Testament, some by two full centuries or more, already identify a personal, malevolent being distinct from God as the true agent behind such episodes of death and affliction — a fact any honest historical inquiry into the period readily confirms. The Targum, an ancient Jewish paraphrase-commentary tradition read alongside the Hebrew text in the synagogue, explicitly identifies "the angel of death" as the very one from whom the blood of circumcision rescued Moses at the inn in Exodus 4:24-26 — a passage that, read without this background, might otherwise seem to suggest God himself sought to kill his own newly chosen deliverer on the way back to Egypt, an impossible and self-defeating reading once the underlying grammar and its Jewish interpretive history are understood. Later rabbinic sources gave this same destroying figure a personal name, Samael, described repeatedly as the angel or prince of death, and identified as the same figure elsewhere called Satan in other contexts — a point one Jewish commentator makes explicitly, noting that their own sages spoke in some places of Satan hindering Abraham from sacrificing Isaac, and in other places of Samael doing the very same thing, proving that the two names refer to one and the same being.</w:t>
      </w:r>
    </w:p>
    <w:p>
      <w:pPr>
        <w:spacing w:after="200"/>
        <w:ind w:firstLine="432"/>
        <w:jc w:val="both"/>
      </w:pPr>
      <w:r>
        <w:rPr>
          <w:sz w:val="24"/>
          <w:szCs w:val="24"/>
        </w:rPr>
        <w:t xml:space="preserve">The Wisdom of Solomon, written roughly two centuries before Christ, states plainly that God created man to be immortal, made in the image of his own eternal nature, and that it was "through the envy of the devil" that death entered into the world at all — a striking anticipation, in a pre-Christian Jewish text, of exactly the theology the New Testament writers are later accused of having invented on their own authority. The Book of Jubilees, from around the same period, names a hostile figure, variously "Mastema" or "Prince Mastema," as the one who sought to slay the Israelites on their return journey to Egypt, and who, together with a whole company of subordinate destroying spirits under his command, carried out the actual killing of the Egyptian firstborn on that fateful night — the very episode Exodus itself attributes, on a hasty surface reading, directly to "the Lord" passing through the land. The same source associates this figure with the hardening of Pharaoh's own heart during the days of the plagues, describing him as bound and restrained on certain days and deliberately loosed on others, precisely when his services were required to press Pharaoh and the Egyptians toward pursuing Israel to their own destruction at the sea. None of this is a New Testament invention grafted on decades later; it is the well-attested, textually documented Jewish interpretive background that the New Testament writers themselves plainly inherited and simply carried forward without any need to explain or defend it to their own first audiences.</w:t>
      </w:r>
    </w:p>
    <w:p>
      <w:pPr>
        <w:spacing w:after="200" w:before="360"/>
      </w:pPr>
      <w:r>
        <w:rPr>
          <w:b/>
          <w:bCs/>
          <w:sz w:val="26"/>
          <w:szCs w:val="26"/>
        </w:rPr>
        <w:t xml:space="preserve">Numbers 16 and Genesis 18: Standing between Judgment and Mercy</w:t>
      </w:r>
    </w:p>
    <w:p>
      <w:pPr>
        <w:spacing w:after="0" w:before="200"/>
      </w:pPr>
      <w:r>
        <w:rPr>
          <w:b/>
          <w:bCs/>
          <w:sz w:val="24"/>
          <w:szCs w:val="24"/>
        </w:rPr>
        <w:t xml:space="preserve">Numbers 16:46, 48</w:t>
      </w:r>
    </w:p>
    <w:p>
      <w:pPr>
        <w:spacing w:after="0"/>
        <w:ind w:left="432"/>
      </w:pPr>
      <w:r>
        <w:rPr>
          <w:sz w:val="24"/>
          <w:szCs w:val="24"/>
        </w:rPr>
        <w:t xml:space="preserve">[46]...for there is wrath gone out from the Lord; the plague is begun.</w:t>
      </w:r>
    </w:p>
    <w:p>
      <w:pPr>
        <w:spacing w:after="0"/>
        <w:ind w:left="432"/>
      </w:pPr>
      <w:r>
        <w:rPr>
          <w:sz w:val="24"/>
          <w:szCs w:val="24"/>
        </w:rPr>
        <w:t xml:space="preserve">[48]And he stood between the dead and the living; and the plague was stayed.</w:t>
      </w:r>
    </w:p>
    <w:p>
      <w:pPr>
        <w:spacing w:after="200"/>
        <w:ind w:firstLine="432"/>
        <w:jc w:val="both"/>
      </w:pPr>
      <w:r>
        <w:rPr>
          <w:sz w:val="24"/>
          <w:szCs w:val="24"/>
        </w:rPr>
        <w:t xml:space="preserve">If God himself were the direct and personally unstoppable executor of every plague described in Scripture as coming "from the Lord," Aaron's own intervention here with nothing more than a censer of incense could not possibly have halted it partway through; that it plainly did halt it shows that such plagues, once loosed as a consequence of disobedience, could genuinely be interposed against by human intercession and were not simply an unstoppable, mechanically executed divine decree running to its predetermined end regardless of any human response. This is precisely the pattern of intercession also visible earlier in Abraham's extended pleading for Sodom in Genesis 18, where God's own foreknowledge of coming judgment is deliberately shared with Abraham in advance, inviting a response, rather than being executed unilaterally, in secret, and without any possibility of recourse or appeal.</w:t>
      </w:r>
    </w:p>
    <w:p>
      <w:pPr>
        <w:spacing w:after="200" w:before="360"/>
      </w:pPr>
      <w:r>
        <w:rPr>
          <w:b/>
          <w:bCs/>
          <w:sz w:val="26"/>
          <w:szCs w:val="26"/>
        </w:rPr>
        <w:t xml:space="preserve">The Unbroken Patristic Witness against a God Who Authors Evil</w:t>
      </w:r>
    </w:p>
    <w:p>
      <w:pPr>
        <w:spacing w:after="200"/>
        <w:ind w:firstLine="432"/>
        <w:jc w:val="both"/>
      </w:pPr>
      <w:r>
        <w:rPr>
          <w:sz w:val="24"/>
          <w:szCs w:val="24"/>
        </w:rPr>
        <w:t xml:space="preserve">This same distinction runs consistently through the writings of the early church, well before any hint of the later doctrine that would eventually make God the direct author of sin. Origen, writing in the third century, argued at considerable length that a careful, comprehensive reading of Moses and the prophets, gathered together from every relevant source into a single coherent body of doctrine, shows a consistent theology of the origin of evil located in a fallen spiritual being, never in God himself, and that apparent difficulties in the Old Testament yield, on the very same interpretive principle already used to resolve comparable difficulties in the New Testament, to the recognition that Scripture regularly speaks of God, in his own words, "as if he were subject to human affection" — accommodating itself to human language and human categories of speech rather than offering a flat, literal description of God's inward emotional life or direct personal action in every case. Tertullian, credited with articulating much of the church's early Trinitarian vocabulary, insisted with equal directness that sickness and calamity trace their origin to fallen angels who rebelled by their own entirely free will, whose great business, in his own words, is to work the ruin of mankind, not to God, who made the angel good from the very beginning, after the pattern of his own good works, long before that angel's own fall into wickedness.</w:t>
      </w:r>
    </w:p>
    <w:p>
      <w:pPr>
        <w:spacing w:after="200"/>
        <w:ind w:firstLine="432"/>
        <w:jc w:val="both"/>
      </w:pPr>
      <w:r>
        <w:rPr>
          <w:sz w:val="24"/>
          <w:szCs w:val="24"/>
        </w:rPr>
        <w:t xml:space="preserve">Athenagoras and Tatian likewise located the origin of death and disease in a hostile spiritual power that exploits human physical vulnerability, while affirming, in Tatian's own words, that it is humanity's free will, exercised wrongly, that has destroyed humanity, and that nothing evil was created by God at all — "we ourselves have manifested wickedness, but we who have manifested it are able again to reject it." Justin Martyr, commenting specifically on Isaiah 53, held that the sufferings of Christ were instigated by the devil, working through what he calls "senseless" human agents who carried the actual deed out with their own hands, not directly and personally inflicted by God upon his own Son. Irenaeus taught that texts describing God as "blinding" or "hardening" describe, on careful examination, his own foreknowledge combined with his own withdrawal from those who have already, by their own prior and repeated choice, elected to depart from him — a withdrawal of light that is experienced, by those who reject it, as darkness, exactly as a person who has blinded himself, or allowed himself to be blinded by others, is thereafter deprived of light not because the light has inflicted blindness upon him but because his own blindness has brought that calamity upon itself. Clement of Alexandria explained, in similar terms, that God's own manner of punishment consists essentially in the turning away of his face, so that evil then "arises spontaneously through human unbelief" once that face is averted, not through any direct and positive decree issued against the sinner.</w:t>
      </w:r>
    </w:p>
    <w:p>
      <w:pPr>
        <w:spacing w:after="200"/>
        <w:ind w:firstLine="432"/>
        <w:jc w:val="both"/>
      </w:pPr>
      <w:r>
        <w:rPr>
          <w:sz w:val="24"/>
          <w:szCs w:val="24"/>
        </w:rPr>
        <w:t xml:space="preserve">Gregory of Nyssa, Basil, and John Chrysostom, writing in the fourth century, taught, each in his own words but to the same essential effect, that death and evil are the necessary and entirely natural consequence of a prior turning away from the life and light that God alone supplies to his creatures, in the same way that darkness is simply the natural and inevitable result of turning away from a source of light, not something God actively manufactures and inflicts as a separate act of positive will directed against the one who suffers it. Chrysostom, commenting on Isaiah's own prophecy that the people "should not believe," insisted explicitly that the prophecy's own words are not expressive of the cause of their unbelief but only of the event that would follow from it — they did not fail to believe because Isaiah had said they would; rather, Isaiah said they would precisely because he foresaw, by revelation, that they would not believe of their own accord, exactly as it is not the fault of the sun that it hurts weak or diseased eyes, so neither is God rightly blamed for the punishment that inevitably falls upon those who refuse to attend to his word.</w:t>
      </w:r>
    </w:p>
    <w:p>
      <w:pPr>
        <w:spacing w:after="200"/>
        <w:ind w:firstLine="432"/>
        <w:jc w:val="both"/>
      </w:pPr>
      <w:r>
        <w:rPr>
          <w:sz w:val="24"/>
          <w:szCs w:val="24"/>
        </w:rPr>
        <w:t xml:space="preserve">This is not, in other words, a modern or evasive theological reading imported many centuries later to rescue an embarrassing or difficult text from its own plain meaning. It is the consistent, well-documented, and repeatedly restated position of Jewish and Christian interpreters alike for well over a thousand years before the particular strand of later Reformed theology that eventually collapsed the careful and long-established distinction between what God merely permits and what God actively decrees — a development, historically speaking, of the Augustinian tradition later systematized still further by Calvin and his own successors, and not, whatever its proponents may claim for it, any kind of return to an earlier and more biblically faithful consensus that in fact never existed in the form they suppose.</w:t>
      </w:r>
    </w:p>
    <w:p>
      <w:pPr>
        <w:spacing w:after="200" w:before="360"/>
      </w:pPr>
      <w:r>
        <w:rPr>
          <w:b/>
          <w:bCs/>
          <w:sz w:val="26"/>
          <w:szCs w:val="26"/>
        </w:rPr>
        <w:t xml:space="preserve">1 Kings 11: Solomon's Own Idolatry Opens the Door</w:t>
      </w:r>
    </w:p>
    <w:p>
      <w:pPr>
        <w:spacing w:after="0" w:before="200"/>
      </w:pPr>
      <w:r>
        <w:rPr>
          <w:b/>
          <w:bCs/>
          <w:sz w:val="24"/>
          <w:szCs w:val="24"/>
        </w:rPr>
        <w:t xml:space="preserve">1 Kings 11:14</w:t>
      </w:r>
    </w:p>
    <w:p>
      <w:pPr>
        <w:spacing w:after="0"/>
        <w:ind w:left="432"/>
      </w:pPr>
      <w:r>
        <w:rPr>
          <w:sz w:val="24"/>
          <w:szCs w:val="24"/>
        </w:rPr>
        <w:t xml:space="preserve">[14]And the Lord stirred up an adversary unto Solomon, Hadad the Edomite: he was of the seed of the king in Edom.</w:t>
      </w:r>
    </w:p>
    <w:p>
      <w:pPr>
        <w:spacing w:after="200"/>
        <w:ind w:firstLine="432"/>
        <w:jc w:val="both"/>
      </w:pPr>
      <w:r>
        <w:rPr>
          <w:sz w:val="24"/>
          <w:szCs w:val="24"/>
        </w:rPr>
        <w:t xml:space="preserve">Read in isolation, and without attention to what immediately precedes it in the same chapter, this verse appears to credit God directly with actively raising up Solomon's own enemy out of nowhere. Read in its own context, following directly and explicitly upon Solomon's own well-documented turn to idolatry in his old age, it describes a door opened by Solomon's own disobedience, through which an adversary — historically understood within this same Jewish and Christian interpretive tradition to be, at root, of ultimately satanic instigation working through human agency — enters and is permitted to act. Cause and effect, not divine initiation out of nothing, governs the sequence throughout this narrative, exactly as it governs the sequence in Eden: "what hast thou done?" (Genesis 3:13) remains the operative and recurring question behind such texts from Genesis to Kings and beyond, never "what did I personally decide to inflict upon you out of my own sovereign pleasure?"</w:t>
      </w:r>
    </w:p>
    <w:p>
      <w:pPr>
        <w:spacing w:after="200" w:before="360"/>
      </w:pPr>
      <w:r>
        <w:rPr>
          <w:b/>
          <w:bCs/>
          <w:sz w:val="26"/>
          <w:szCs w:val="26"/>
        </w:rPr>
        <w:t xml:space="preserve">Conclusion: Neither Denial nor Uncritical Literalism</w:t>
      </w:r>
    </w:p>
    <w:p>
      <w:pPr>
        <w:spacing w:after="200"/>
        <w:ind w:firstLine="432"/>
        <w:jc w:val="both"/>
      </w:pPr>
      <w:r>
        <w:rPr>
          <w:sz w:val="24"/>
          <w:szCs w:val="24"/>
        </w:rPr>
        <w:t xml:space="preserve">Two opposite errors are equally to be avoided in handling this material. One is the hyper-Calvinist error of collapsing divine permission into divine decree without remainder, making God, in effect, the ultimate author of the very evil he elsewhere and repeatedly condemns in the strongest possible terms. The other, equally serious, is a hermeneutic of denial or evasion, treating every difficult Old Testament text as simply outdated, embarrassing, or best passed over quickly in favor of the New Testament, an approach that implicitly, and quite unfairly, discredits the very Scriptures the New Testament itself explicitly claims to fulfill and to have been written from beginning to end. The historically consistent alternative to both of these errors, modeled by Jewish interpreters for centuries before Christ and by Christian interpreters for many centuries afterward, is neither of them: it is the patient, unhurried, and genuinely contextual work of identifying the language, the actual actors involved, and the surrounding history behind every single difficult text in turn — work that consistently and without a single exception yields the same conclusion reached again and again throughout this entire study, from Genesis 3 onward: God warns at exhaustive length, God laments what he foresees, God withdraws in measured response to persistent and repeated rejection, but God does not, at any point in the whole of Scripture properly and patiently read, author the evil that follows.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2026-07-14T07:32:12.179Z</dcterms:created>
  <dcterms:modified xsi:type="dcterms:W3CDTF">2026-07-14T07:32:12.182Z</dcterms:modified>
</cp:coreProperties>
</file>

<file path=docProps/custom.xml><?xml version="1.0" encoding="utf-8"?>
<Properties xmlns="http://schemas.openxmlformats.org/officeDocument/2006/custom-properties" xmlns:vt="http://schemas.openxmlformats.org/officeDocument/2006/docPropsVTypes"/>
</file>