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2"/>
          <w:szCs w:val="32"/>
        </w:rPr>
        <w:t xml:space="preserve">Two Kinds of Righteousness — Series 2, Part 1: Track 23</w:t>
      </w:r>
    </w:p>
    <w:p>
      <w:pPr>
        <w:spacing w:after="360"/>
        <w:jc w:val="center"/>
      </w:pPr>
      <w:r>
        <w:rPr>
          <w:b/>
          <w:bCs/>
          <w:sz w:val="32"/>
          <w:szCs w:val="32"/>
        </w:rPr>
        <w:t xml:space="preserve">Righteousness as Accounting, and the Law of Moses on Women</w:t>
      </w:r>
    </w:p>
    <w:p>
      <w:pPr>
        <w:spacing w:after="200" w:before="360"/>
      </w:pPr>
      <w:r>
        <w:rPr>
          <w:b/>
          <w:bCs/>
          <w:sz w:val="26"/>
          <w:szCs w:val="26"/>
        </w:rPr>
        <w:t xml:space="preserve">Moses and the Prophets, Once More</w:t>
      </w:r>
    </w:p>
    <w:p>
      <w:pPr>
        <w:spacing w:after="0" w:before="200"/>
      </w:pPr>
      <w:r>
        <w:rPr>
          <w:b/>
          <w:bCs/>
          <w:sz w:val="24"/>
          <w:szCs w:val="24"/>
        </w:rPr>
        <w:t xml:space="preserve">Luke 24:25, 27</w:t>
      </w:r>
    </w:p>
    <w:p>
      <w:pPr>
        <w:spacing w:after="0"/>
        <w:ind w:left="432"/>
      </w:pPr>
      <w:r>
        <w:rPr>
          <w:sz w:val="24"/>
          <w:szCs w:val="24"/>
        </w:rPr>
        <w:t xml:space="preserve">[25]Then he said unto them, O fools, and slow of heart to believe all that the prophets have spoken:</w:t>
      </w:r>
    </w:p>
    <w:p>
      <w:pPr>
        <w:spacing w:after="0"/>
        <w:ind w:left="432"/>
      </w:pPr>
      <w:r>
        <w:rPr>
          <w:sz w:val="24"/>
          <w:szCs w:val="24"/>
        </w:rPr>
        <w:t xml:space="preserve">[27]And beginning at Moses and all the prophets, he expounded unto them in all the scriptures the things concerning himself.</w:t>
      </w:r>
    </w:p>
    <w:p>
      <w:pPr>
        <w:spacing w:after="0" w:before="200"/>
      </w:pPr>
      <w:r>
        <w:rPr>
          <w:b/>
          <w:bCs/>
          <w:sz w:val="24"/>
          <w:szCs w:val="24"/>
        </w:rPr>
        <w:t xml:space="preserve">Acts 28:23</w:t>
      </w:r>
    </w:p>
    <w:p>
      <w:pPr>
        <w:spacing w:after="0"/>
        <w:ind w:left="432"/>
      </w:pPr>
      <w:r>
        <w:rPr>
          <w:sz w:val="24"/>
          <w:szCs w:val="24"/>
        </w:rPr>
        <w:t xml:space="preserve">[23]And when they had appointed him a day, there came many to him into his lodging; to whom he expounded and testified the kingdom of God, persuading them concerning Jesus, both out of the law of Moses, and out of the prophets, from morning till evening.</w:t>
      </w:r>
    </w:p>
    <w:p>
      <w:pPr>
        <w:spacing w:after="200"/>
        <w:ind w:firstLine="432"/>
        <w:jc w:val="both"/>
      </w:pPr>
      <w:r>
        <w:rPr>
          <w:sz w:val="24"/>
          <w:szCs w:val="24"/>
        </w:rPr>
        <w:t xml:space="preserve">This recurring pairing of "Moses and the prophets" is deliberate: books that read, on the surface, like abstract wisdom literature — Proverbs, Ecclesiastes — are not free-standing philosophy but interpretation of the Torah. The prophets judged, spoke, and preached according to what the Torah had already established. The Torah itself centers on Genesis, and Genesis centers not on Abraham as a man but on the promise made to Abraham — the </w:t>
      </w:r>
      <w:r>
        <w:rPr>
          <w:i/>
          <w:iCs/>
          <w:sz w:val="24"/>
          <w:szCs w:val="24"/>
        </w:rPr>
        <w:t xml:space="preserve">epangelia</w:t>
      </w:r>
      <w:r>
        <w:rPr>
          <w:sz w:val="24"/>
          <w:szCs w:val="24"/>
        </w:rPr>
        <w:t xml:space="preserve"> (promise) sealed by </w:t>
      </w:r>
      <w:r>
        <w:rPr>
          <w:i/>
          <w:iCs/>
          <w:sz w:val="24"/>
          <w:szCs w:val="24"/>
        </w:rPr>
        <w:t xml:space="preserve">diatheke</w:t>
      </w:r>
      <w:r>
        <w:rPr>
          <w:sz w:val="24"/>
          <w:szCs w:val="24"/>
        </w:rPr>
        <w:t xml:space="preserve"> (covenant), showing that what follows is what God himself promised and granted, not what Abraham achieved.</w:t>
      </w:r>
    </w:p>
    <w:p>
      <w:pPr>
        <w:spacing w:after="0" w:before="200"/>
      </w:pPr>
      <w:r>
        <w:rPr>
          <w:b/>
          <w:bCs/>
          <w:sz w:val="24"/>
          <w:szCs w:val="24"/>
        </w:rPr>
        <w:t xml:space="preserve">Nehemiah 8:7-8</w:t>
      </w:r>
    </w:p>
    <w:p>
      <w:pPr>
        <w:spacing w:after="0"/>
        <w:ind w:left="432"/>
      </w:pPr>
      <w:r>
        <w:rPr>
          <w:sz w:val="24"/>
          <w:szCs w:val="24"/>
        </w:rPr>
        <w:t xml:space="preserve">[7]...caused the people to understand the law: and the people stood in their place.</w:t>
      </w:r>
    </w:p>
    <w:p>
      <w:pPr>
        <w:spacing w:after="0"/>
        <w:ind w:left="432"/>
      </w:pPr>
      <w:r>
        <w:rPr>
          <w:sz w:val="24"/>
          <w:szCs w:val="24"/>
        </w:rPr>
        <w:t xml:space="preserve">[8]So they read in the book in the law of God distinctly, and gave the sense, and caused them to understand the reading.</w:t>
      </w:r>
    </w:p>
    <w:p>
      <w:pPr>
        <w:spacing w:after="200"/>
        <w:ind w:firstLine="432"/>
        <w:jc w:val="both"/>
      </w:pPr>
      <w:r>
        <w:rPr>
          <w:sz w:val="24"/>
          <w:szCs w:val="24"/>
        </w:rPr>
        <w:t xml:space="preserve">This is the model for the teacher of the law: to teach it accurately and properly, crossing the language barrier and the context barrier to arrive at the essence — which is to believe God.</w:t>
      </w:r>
    </w:p>
    <w:p>
      <w:pPr>
        <w:spacing w:after="200" w:before="360"/>
      </w:pPr>
      <w:r>
        <w:rPr>
          <w:b/>
          <w:bCs/>
          <w:sz w:val="26"/>
          <w:szCs w:val="26"/>
        </w:rPr>
        <w:t xml:space="preserve">Two Hinges: Genesis 3 and Genesis 4</w:t>
      </w:r>
    </w:p>
    <w:p>
      <w:pPr>
        <w:spacing w:after="200"/>
        <w:ind w:firstLine="432"/>
        <w:jc w:val="both"/>
      </w:pPr>
      <w:r>
        <w:rPr>
          <w:sz w:val="24"/>
          <w:szCs w:val="24"/>
        </w:rPr>
        <w:t xml:space="preserve">The law and the prophets hang on two things: Genesis 3, disobedience, and Genesis 4, wickedness toward one's brother. Reading the law and the Old Testament rightly requires care at exactly these two hinges. As already established, Moses' law can be unpacked into the laws governing the nation, the laws governing worship, the laws governing commercial and social interaction, and beneath all of these, the law of Genesis, which supplies the reason for the other three. Because of Genesis, Moses had to find his way around laws and customs already present in the land — he could not simply impose pure worship of God on every dimension of national life, any more than the church today, with the full light of the Gospel, can compel every believer to walk perfectly in the Spirit. God is a realist. He deals honestly with the fact that he was legislating for carnal men, men Paul would later describe as "sold under sin," men who, per Deuteronomy 32:20, were "a very froward generation, children in whom is no faith" — a generation Scripture deliberately distinguishes from Abraham, of whom Genesis 15:6 speaks differently.</w:t>
      </w:r>
    </w:p>
    <w:p>
      <w:pPr>
        <w:spacing w:after="200" w:before="360"/>
      </w:pPr>
      <w:r>
        <w:rPr>
          <w:b/>
          <w:bCs/>
          <w:sz w:val="26"/>
          <w:szCs w:val="26"/>
        </w:rPr>
        <w:t xml:space="preserve">Phineas Revisited: Accounted, Not Believed</w:t>
      </w:r>
    </w:p>
    <w:p>
      <w:pPr>
        <w:spacing w:after="200"/>
        <w:ind w:firstLine="432"/>
        <w:jc w:val="both"/>
      </w:pPr>
      <w:r>
        <w:rPr>
          <w:sz w:val="24"/>
          <w:szCs w:val="24"/>
        </w:rPr>
        <w:t xml:space="preserve">The Phineas narrative was left deliberately unresolved earlier so it could be reconsidered here. What Phineas did with what was available to him in his own world cannot be treated as a model for believers to imitate today, and there is no language of faith in that narrative — the concept of faith is simply not present in it. What is present is the language of righteousness in conduct: a man's conduct itself reflecting the </w:t>
      </w:r>
      <w:r>
        <w:rPr>
          <w:i/>
          <w:iCs/>
          <w:sz w:val="24"/>
          <w:szCs w:val="24"/>
        </w:rPr>
        <w:t xml:space="preserve">tzedakah</w:t>
      </w:r>
      <w:r>
        <w:rPr>
          <w:sz w:val="24"/>
          <w:szCs w:val="24"/>
        </w:rPr>
        <w:t xml:space="preserve"> — the justice and judgment — of God. This is different from, though related to, righteousness by faith. Genesis chronology shows that conduct itself can be read as putting a matter in the right, and Scripture, both there and elsewhere in the Old Testament, can speak this way without implying belief was present.</w:t>
      </w:r>
    </w:p>
    <w:p>
      <w:pPr>
        <w:spacing w:after="200" w:before="360"/>
      </w:pPr>
      <w:r>
        <w:rPr>
          <w:b/>
          <w:bCs/>
          <w:sz w:val="26"/>
          <w:szCs w:val="26"/>
        </w:rPr>
        <w:t xml:space="preserve">The Word Study: Chashab and Logizomai</w:t>
      </w:r>
    </w:p>
    <w:p>
      <w:pPr>
        <w:spacing w:after="200"/>
        <w:ind w:firstLine="432"/>
        <w:jc w:val="both"/>
      </w:pPr>
      <w:r>
        <w:rPr>
          <w:sz w:val="24"/>
          <w:szCs w:val="24"/>
        </w:rPr>
        <w:t xml:space="preserve">The Hebrew word translated "accounted" in Psalm 106:31 (of Phineas) and Genesis 15:6 (of Abraham) is </w:t>
      </w:r>
      <w:r>
        <w:rPr>
          <w:i/>
          <w:iCs/>
          <w:sz w:val="24"/>
          <w:szCs w:val="24"/>
        </w:rPr>
        <w:t xml:space="preserve">chashab</w:t>
      </w:r>
      <w:r>
        <w:rPr>
          <w:sz w:val="24"/>
          <w:szCs w:val="24"/>
        </w:rPr>
        <w:t xml:space="preserve"> — to put into recognition, or to record. Paul's Greek equivalent is </w:t>
      </w:r>
      <w:r>
        <w:rPr>
          <w:i/>
          <w:iCs/>
          <w:sz w:val="24"/>
          <w:szCs w:val="24"/>
        </w:rPr>
        <w:t xml:space="preserve">logizomai</w:t>
      </w:r>
      <w:r>
        <w:rPr>
          <w:sz w:val="24"/>
          <w:szCs w:val="24"/>
        </w:rPr>
        <w:t xml:space="preserve">, used repeatedly in Romans 4.</w:t>
      </w:r>
    </w:p>
    <w:p>
      <w:pPr>
        <w:spacing w:after="0" w:before="200"/>
      </w:pPr>
      <w:r>
        <w:rPr>
          <w:b/>
          <w:bCs/>
          <w:sz w:val="24"/>
          <w:szCs w:val="24"/>
        </w:rPr>
        <w:t xml:space="preserve">Romans 4:3, 6, 8, 10</w:t>
      </w:r>
    </w:p>
    <w:p>
      <w:pPr>
        <w:spacing w:after="0"/>
        <w:ind w:left="432"/>
      </w:pPr>
      <w:r>
        <w:rPr>
          <w:sz w:val="24"/>
          <w:szCs w:val="24"/>
        </w:rPr>
        <w:t xml:space="preserve">[3]For what saith the scripture? Abraham believed God, and it was counted unto him for righteousness.</w:t>
      </w:r>
    </w:p>
    <w:p>
      <w:pPr>
        <w:spacing w:after="0"/>
        <w:ind w:left="432"/>
      </w:pPr>
      <w:r>
        <w:rPr>
          <w:sz w:val="24"/>
          <w:szCs w:val="24"/>
        </w:rPr>
        <w:t xml:space="preserve">[6]Even as David also describeth the blessedness of the man, unto whom God imputeth righteousness without works,</w:t>
      </w:r>
    </w:p>
    <w:p>
      <w:pPr>
        <w:spacing w:after="0"/>
        <w:ind w:left="432"/>
      </w:pPr>
      <w:r>
        <w:rPr>
          <w:sz w:val="24"/>
          <w:szCs w:val="24"/>
        </w:rPr>
        <w:t xml:space="preserve">[8]Blessed is the man to whom the Lord will not impute sin.</w:t>
      </w:r>
    </w:p>
    <w:p>
      <w:pPr>
        <w:spacing w:after="0"/>
        <w:ind w:left="432"/>
      </w:pPr>
      <w:r>
        <w:rPr>
          <w:sz w:val="24"/>
          <w:szCs w:val="24"/>
        </w:rPr>
        <w:t xml:space="preserve">[10]How was it then reckoned? when he was in circumcision, or in uncircumcision? Not in circumcision, but in uncircumcision.</w:t>
      </w:r>
    </w:p>
    <w:p>
      <w:pPr>
        <w:spacing w:after="0" w:before="200"/>
      </w:pPr>
      <w:r>
        <w:rPr>
          <w:b/>
          <w:bCs/>
          <w:sz w:val="24"/>
          <w:szCs w:val="24"/>
        </w:rPr>
        <w:t xml:space="preserve">Romans 4:23-25</w:t>
      </w:r>
    </w:p>
    <w:p>
      <w:pPr>
        <w:spacing w:after="0"/>
        <w:ind w:left="432"/>
      </w:pPr>
      <w:r>
        <w:rPr>
          <w:sz w:val="24"/>
          <w:szCs w:val="24"/>
        </w:rPr>
        <w:t xml:space="preserve">[23]Now it was not written for his sake alone, that it was imputed to him;</w:t>
      </w:r>
    </w:p>
    <w:p>
      <w:pPr>
        <w:spacing w:after="0"/>
        <w:ind w:left="432"/>
      </w:pPr>
      <w:r>
        <w:rPr>
          <w:sz w:val="24"/>
          <w:szCs w:val="24"/>
        </w:rPr>
        <w:t xml:space="preserve">[24]But for us also, to whom it shall be imputed, if we believe on him that raised up Jesus our Lord from the dead;</w:t>
      </w:r>
    </w:p>
    <w:p>
      <w:pPr>
        <w:spacing w:after="0"/>
        <w:ind w:left="432"/>
      </w:pPr>
      <w:r>
        <w:rPr>
          <w:sz w:val="24"/>
          <w:szCs w:val="24"/>
        </w:rPr>
        <w:t xml:space="preserve">[25]Who was delivered for our offences, and was raised again for our justification.</w:t>
      </w:r>
    </w:p>
    <w:p>
      <w:pPr>
        <w:spacing w:after="200"/>
        <w:ind w:firstLine="432"/>
        <w:jc w:val="both"/>
      </w:pPr>
      <w:r>
        <w:rPr>
          <w:sz w:val="24"/>
          <w:szCs w:val="24"/>
        </w:rPr>
        <w:t xml:space="preserve">The word "imputed" carries the character of a ledger entry, as though generated by Moses himself in his own address to Israel about faith and love: Abraham believed God, and what he had done was entered into his account as </w:t>
      </w:r>
      <w:r>
        <w:rPr>
          <w:i/>
          <w:iCs/>
          <w:sz w:val="24"/>
          <w:szCs w:val="24"/>
        </w:rPr>
        <w:t xml:space="preserve">tzedakah</w:t>
      </w:r>
      <w:r>
        <w:rPr>
          <w:sz w:val="24"/>
          <w:szCs w:val="24"/>
        </w:rPr>
        <w:t xml:space="preserve">. He then commanded his children after him — and this too, his conduct, is called righteous, echoing the same vocabulary applied to Isaac. Righteousness, alongside faith, love, and hope, denotes a person restored to his rightful position.</w:t>
      </w:r>
    </w:p>
    <w:p>
      <w:pPr>
        <w:spacing w:after="0" w:before="200"/>
      </w:pPr>
      <w:r>
        <w:rPr>
          <w:b/>
          <w:bCs/>
          <w:sz w:val="24"/>
          <w:szCs w:val="24"/>
        </w:rPr>
        <w:t xml:space="preserve">Romans 5:13</w:t>
      </w:r>
    </w:p>
    <w:p>
      <w:pPr>
        <w:spacing w:after="0"/>
        <w:ind w:left="432"/>
      </w:pPr>
      <w:r>
        <w:rPr>
          <w:sz w:val="24"/>
          <w:szCs w:val="24"/>
        </w:rPr>
        <w:t xml:space="preserve">[13]...but sin is not imputed when there is no law.</w:t>
      </w:r>
    </w:p>
    <w:p>
      <w:pPr>
        <w:spacing w:after="200"/>
        <w:ind w:firstLine="432"/>
        <w:jc w:val="both"/>
      </w:pPr>
      <w:r>
        <w:rPr>
          <w:sz w:val="24"/>
          <w:szCs w:val="24"/>
        </w:rPr>
        <w:t xml:space="preserve">Paul plays with a distinct word in this later verse — not </w:t>
      </w:r>
      <w:r>
        <w:rPr>
          <w:i/>
          <w:iCs/>
          <w:sz w:val="24"/>
          <w:szCs w:val="24"/>
        </w:rPr>
        <w:t xml:space="preserve">logizomai</w:t>
      </w:r>
      <w:r>
        <w:rPr>
          <w:sz w:val="24"/>
          <w:szCs w:val="24"/>
        </w:rPr>
        <w:t xml:space="preserve"> but </w:t>
      </w:r>
      <w:r>
        <w:rPr>
          <w:i/>
          <w:iCs/>
          <w:sz w:val="24"/>
          <w:szCs w:val="24"/>
        </w:rPr>
        <w:t xml:space="preserve">ellogeo</w:t>
      </w:r>
      <w:r>
        <w:rPr>
          <w:sz w:val="24"/>
          <w:szCs w:val="24"/>
        </w:rPr>
        <w:t xml:space="preserve">, the same verb Paul uses in Philemon.</w:t>
      </w:r>
    </w:p>
    <w:p>
      <w:pPr>
        <w:spacing w:after="0" w:before="200"/>
      </w:pPr>
      <w:r>
        <w:rPr>
          <w:b/>
          <w:bCs/>
          <w:sz w:val="24"/>
          <w:szCs w:val="24"/>
        </w:rPr>
        <w:t xml:space="preserve">Philemon 1:18</w:t>
      </w:r>
    </w:p>
    <w:p>
      <w:pPr>
        <w:spacing w:after="0"/>
        <w:ind w:left="432"/>
      </w:pPr>
      <w:r>
        <w:rPr>
          <w:sz w:val="24"/>
          <w:szCs w:val="24"/>
        </w:rPr>
        <w:t xml:space="preserve">[18]If he hath wronged thee, or oweth thee ought, put that on mine account;</w:t>
      </w:r>
    </w:p>
    <w:p>
      <w:pPr>
        <w:spacing w:after="200"/>
        <w:ind w:firstLine="432"/>
        <w:jc w:val="both"/>
      </w:pPr>
      <w:r>
        <w:rPr>
          <w:sz w:val="24"/>
          <w:szCs w:val="24"/>
        </w:rPr>
        <w:t xml:space="preserve">Philemon 18's "put it on my account" is a debt charged against a person — written </w:t>
      </w:r>
      <w:r>
        <w:rPr>
          <w:i/>
          <w:iCs/>
          <w:sz w:val="24"/>
          <w:szCs w:val="24"/>
        </w:rPr>
        <w:t xml:space="preserve">against</w:t>
      </w:r>
      <w:r>
        <w:rPr>
          <w:sz w:val="24"/>
          <w:szCs w:val="24"/>
        </w:rPr>
        <w:t xml:space="preserve"> him. </w:t>
      </w:r>
      <w:r>
        <w:rPr>
          <w:i/>
          <w:iCs/>
          <w:sz w:val="24"/>
          <w:szCs w:val="24"/>
        </w:rPr>
        <w:t xml:space="preserve">Logizomai</w:t>
      </w:r>
      <w:r>
        <w:rPr>
          <w:sz w:val="24"/>
          <w:szCs w:val="24"/>
        </w:rPr>
        <w:t xml:space="preserve">, by contrast, is a credit entered </w:t>
      </w:r>
      <w:r>
        <w:rPr>
          <w:i/>
          <w:iCs/>
          <w:sz w:val="24"/>
          <w:szCs w:val="24"/>
        </w:rPr>
        <w:t xml:space="preserve">for</w:t>
      </w:r>
      <w:r>
        <w:rPr>
          <w:sz w:val="24"/>
          <w:szCs w:val="24"/>
        </w:rPr>
        <w:t xml:space="preserve"> him. Moses, therefore, employs a genuine accounting system: contrast, comparison, and a record kept on someone's behalf. On that system, a man's belief is entered as righteousness, and his subsequent conduct — teaching his household, walking in justice and judgment — is also entered as righteousness. The subject of righteousness comes to us by faith in Christ; but the outworking of that gift in what we do with it — our giving, our living in the world — is also, in the language of the Epistles, called righteousness. This deserves further exploration in a future study.</w:t>
      </w:r>
    </w:p>
    <w:p>
      <w:pPr>
        <w:spacing w:after="200" w:before="360"/>
      </w:pPr>
      <w:r>
        <w:rPr>
          <w:b/>
          <w:bCs/>
          <w:sz w:val="26"/>
          <w:szCs w:val="26"/>
        </w:rPr>
        <w:t xml:space="preserve">A New Subject: Women in the Law of Moses</w:t>
      </w:r>
    </w:p>
    <w:p>
      <w:pPr>
        <w:spacing w:after="200"/>
        <w:ind w:firstLine="432"/>
        <w:jc w:val="both"/>
      </w:pPr>
      <w:r>
        <w:rPr>
          <w:sz w:val="24"/>
          <w:szCs w:val="24"/>
        </w:rPr>
        <w:t xml:space="preserve">This subject deserves careful handling because a great many pointed questions will eventually be raised about it, and a teacher of Scripture must always have the answers to the questions before they are asked. The way to approach the status of women under Mosaic law well is to begin from one's own world before returning to the ancient Near East. Even today, thousands of years removed from that world, women's equality remains an unfinished project: societies still mark a "first woman president," a "first lady pilot"; church culture still produces titles like "Pastor Mrs." as though ministry gifting were gender-specific, when it is not — a point made pointedly by a well-known contemporary preacher, that the gift of God has no gender. In American politics, the suggestion that a black woman might run for president has been met with the observation that the nation had not yet fully come to terms with a black man in the White House, let alone a black woman. Even with all the tools of modern biology, dermatology, psychology, and philosophy available, unexamined bias toward women (and toward race) persists in ordinary language and expectation, much as the British monarchy's own history shows in the folk memory of a notably strict female prime minister remembered by an unflattering nickname implying witchcraft.</w:t>
      </w:r>
    </w:p>
    <w:p>
      <w:pPr>
        <w:spacing w:after="200"/>
        <w:ind w:firstLine="432"/>
        <w:jc w:val="both"/>
      </w:pPr>
      <w:r>
        <w:rPr>
          <w:sz w:val="24"/>
          <w:szCs w:val="24"/>
        </w:rPr>
        <w:t xml:space="preserve">Against that backdrop, consider what Jesus himself was already confronting: he could not even freely associate with Gentiles without being accused of eating with sinners, yet he still called a woman "Apostolos" — a sent one — knowing the resistance this would provoke in his world.</w:t>
      </w:r>
    </w:p>
    <w:p>
      <w:pPr>
        <w:spacing w:after="200" w:before="360"/>
      </w:pPr>
      <w:r>
        <w:rPr>
          <w:b/>
          <w:bCs/>
          <w:sz w:val="26"/>
          <w:szCs w:val="26"/>
        </w:rPr>
        <w:t xml:space="preserve">Did Paul Depart from Moses, or Properly Interpret Him?</w:t>
      </w:r>
    </w:p>
    <w:p>
      <w:pPr>
        <w:spacing w:after="200"/>
        <w:ind w:firstLine="432"/>
        <w:jc w:val="both"/>
      </w:pPr>
      <w:r>
        <w:rPr>
          <w:sz w:val="24"/>
          <w:szCs w:val="24"/>
        </w:rPr>
        <w:t xml:space="preserve">Paul's letters were daring precisely where they confronted entrenched cultural assumptions about women — not Paul as an individual acting alone, but the Gospel itself confronting the culture through him. The question this raises is whether Paul took a radical departure from the law of Moses, or whether he properly interpreted it. The answer is the latter, though establishing how requires careful work, because Jesus himself had already set the trajectory: the women at the tomb were the first commissioned to tell the other disciples that he had risen — a genuinely apostolic function, whatever title is or is not applied to it.</w:t>
      </w:r>
    </w:p>
    <w:p>
      <w:pPr>
        <w:spacing w:after="0" w:before="200"/>
      </w:pPr>
      <w:r>
        <w:rPr>
          <w:b/>
          <w:bCs/>
          <w:sz w:val="24"/>
          <w:szCs w:val="24"/>
        </w:rPr>
        <w:t xml:space="preserve">Romans 16:7</w:t>
      </w:r>
    </w:p>
    <w:p>
      <w:pPr>
        <w:spacing w:after="0"/>
        <w:ind w:left="432"/>
      </w:pPr>
      <w:r>
        <w:rPr>
          <w:sz w:val="24"/>
          <w:szCs w:val="24"/>
        </w:rPr>
        <w:t xml:space="preserve">[7]Salute Andronicus and Junia, my kinsmen, and my fellowprisoners, who are of note among the apostles, who also were in Christ before me.</w:t>
      </w:r>
    </w:p>
    <w:p>
      <w:pPr>
        <w:spacing w:after="200"/>
        <w:ind w:firstLine="432"/>
        <w:jc w:val="both"/>
      </w:pPr>
      <w:r>
        <w:rPr>
          <w:sz w:val="24"/>
          <w:szCs w:val="24"/>
        </w:rPr>
        <w:t xml:space="preserve">A great deal of interpretive material on this verse's Junia — a name of some antiquity and clear feminine form — shows considerable strain and, at points, real dishonesty, in efforts to explain the name away. Similarly with Phoebe:</w:t>
      </w:r>
    </w:p>
    <w:p>
      <w:pPr>
        <w:spacing w:after="0" w:before="200"/>
      </w:pPr>
      <w:r>
        <w:rPr>
          <w:b/>
          <w:bCs/>
          <w:sz w:val="24"/>
          <w:szCs w:val="24"/>
        </w:rPr>
        <w:t xml:space="preserve">Romans 16:1-2</w:t>
      </w:r>
    </w:p>
    <w:p>
      <w:pPr>
        <w:spacing w:after="0"/>
        <w:ind w:left="432"/>
      </w:pPr>
      <w:r>
        <w:rPr>
          <w:sz w:val="24"/>
          <w:szCs w:val="24"/>
        </w:rPr>
        <w:t xml:space="preserve">[1]I commend unto you Phebe our sister, which is a servant of the church which is at Cenchrea:</w:t>
      </w:r>
    </w:p>
    <w:p>
      <w:pPr>
        <w:spacing w:after="0"/>
        <w:ind w:left="432"/>
      </w:pPr>
      <w:r>
        <w:rPr>
          <w:sz w:val="24"/>
          <w:szCs w:val="24"/>
        </w:rPr>
        <w:t xml:space="preserve">[2]...for she hath been a succourer of many, and of myself also.</w:t>
      </w:r>
    </w:p>
    <w:p>
      <w:pPr>
        <w:spacing w:after="200"/>
        <w:ind w:firstLine="432"/>
        <w:jc w:val="both"/>
      </w:pPr>
      <w:r>
        <w:rPr>
          <w:sz w:val="24"/>
          <w:szCs w:val="24"/>
        </w:rPr>
        <w:t xml:space="preserve">Some argue Phoebe was merely a courier delivering Paul's letter to Rome, not a minister in her own right — yet the same verb, "servant" (</w:t>
      </w:r>
      <w:r>
        <w:rPr>
          <w:i/>
          <w:iCs/>
          <w:sz w:val="24"/>
          <w:szCs w:val="24"/>
        </w:rPr>
        <w:t xml:space="preserve">diakonos</w:t>
      </w:r>
      <w:r>
        <w:rPr>
          <w:sz w:val="24"/>
          <w:szCs w:val="24"/>
        </w:rPr>
        <w:t xml:space="preserve">), is elsewhere applied to Christ's own ministry, and the role of one entrusted to carry and, by the conventions of the day, to read and expound a letter to its recipients carried real teaching weight.</w:t>
      </w:r>
    </w:p>
    <w:p>
      <w:pPr>
        <w:spacing w:after="200" w:before="360"/>
      </w:pPr>
      <w:r>
        <w:rPr>
          <w:b/>
          <w:bCs/>
          <w:sz w:val="26"/>
          <w:szCs w:val="26"/>
        </w:rPr>
        <w:t xml:space="preserve">The Two Contested Texts</w:t>
      </w:r>
    </w:p>
    <w:p>
      <w:pPr>
        <w:spacing w:after="0" w:before="200"/>
      </w:pPr>
      <w:r>
        <w:rPr>
          <w:b/>
          <w:bCs/>
          <w:sz w:val="24"/>
          <w:szCs w:val="24"/>
        </w:rPr>
        <w:t xml:space="preserve">1 Corinthians 14:34-35 (contested)</w:t>
      </w:r>
    </w:p>
    <w:p>
      <w:pPr>
        <w:spacing w:after="200"/>
        <w:ind w:firstLine="432"/>
        <w:jc w:val="both"/>
      </w:pPr>
      <w:r>
        <w:rPr>
          <w:sz w:val="24"/>
          <w:szCs w:val="24"/>
        </w:rPr>
        <w:t xml:space="preserve">These verses are widely believed by many scholars to be a later interpolation, not part of Paul's original text — a live text-critical question this study leaves open. Without dispute, however, the surrounding context negates a blanket silencing of women: 1 Corinthians 11 explicitly regulates (not forbids) a woman who "prays or prophesies" in the assembly; the entire argument of 1 Corinthians 14 concerns prophecy exercised by the whole congregation; and 1 Corinthians 16 has Paul commending Priscilla by name alongside Aquila, with a church meeting in their house. There is no contradiction here once the whole is read together — only an explanation still owed to two isolated verses.</w:t>
      </w:r>
    </w:p>
    <w:p>
      <w:pPr>
        <w:spacing w:after="200"/>
        <w:ind w:firstLine="432"/>
        <w:jc w:val="both"/>
      </w:pPr>
      <w:r>
        <w:rPr>
          <w:sz w:val="24"/>
          <w:szCs w:val="24"/>
        </w:rPr>
        <w:t xml:space="preserve">Only Paul, of all the New Testament writers, is directly and repeatedly assertive on the subject of women in ministry — and, tellingly, the only texts regularly deployed against women in ministry are drawn from his own letters: 1 Timothy 2:11-12 and, again, 1 Corinthians 14:33-35, alongside 1 Timothy 3:2's requirement that an overseer be "the husband of one wife."</w:t>
      </w:r>
    </w:p>
    <w:p>
      <w:pPr>
        <w:spacing w:after="0" w:before="200"/>
      </w:pPr>
      <w:r>
        <w:rPr>
          <w:b/>
          <w:bCs/>
          <w:sz w:val="24"/>
          <w:szCs w:val="24"/>
        </w:rPr>
        <w:t xml:space="preserve">1 Timothy 3:2, 4-5</w:t>
      </w:r>
    </w:p>
    <w:p>
      <w:pPr>
        <w:spacing w:after="0"/>
        <w:ind w:left="432"/>
      </w:pPr>
      <w:r>
        <w:rPr>
          <w:sz w:val="24"/>
          <w:szCs w:val="24"/>
        </w:rPr>
        <w:t xml:space="preserve">[2]A bishop then must be blameless, the husband of one wife...</w:t>
      </w:r>
    </w:p>
    <w:p>
      <w:pPr>
        <w:spacing w:after="0"/>
        <w:ind w:left="432"/>
      </w:pPr>
      <w:r>
        <w:rPr>
          <w:sz w:val="24"/>
          <w:szCs w:val="24"/>
        </w:rPr>
        <w:t xml:space="preserve">[4]One that ruleth well his own house, having his children in subjection with all gravity;</w:t>
      </w:r>
    </w:p>
    <w:p>
      <w:pPr>
        <w:spacing w:after="0"/>
        <w:ind w:left="432"/>
      </w:pPr>
      <w:r>
        <w:rPr>
          <w:sz w:val="24"/>
          <w:szCs w:val="24"/>
        </w:rPr>
        <w:t xml:space="preserve">[5]For if a man know not how to rule his own house, how shall he take care of the church of God?</w:t>
      </w:r>
    </w:p>
    <w:p>
      <w:pPr>
        <w:spacing w:after="200"/>
        <w:ind w:firstLine="432"/>
        <w:jc w:val="both"/>
      </w:pPr>
      <w:r>
        <w:rPr>
          <w:sz w:val="24"/>
          <w:szCs w:val="24"/>
        </w:rPr>
        <w:t xml:space="preserve">The flow of this passage concerns the overseer's own household government — his children, not his wife — yet it is regularly misapplied a few verses later to the wives of pastors, who are then instructed as though they, too, held ministry office by virtue of marriage. That reading does not survive close attention to Paul's own argument, and it does not sit easily with the wider pattern of the Pauline epistles.</w:t>
      </w:r>
    </w:p>
    <w:p>
      <w:pPr>
        <w:spacing w:after="200" w:before="360"/>
      </w:pPr>
      <w:r>
        <w:rPr>
          <w:b/>
          <w:bCs/>
          <w:sz w:val="26"/>
          <w:szCs w:val="26"/>
        </w:rPr>
        <w:t xml:space="preserve">Meeting the Objection Directly</w:t>
      </w:r>
    </w:p>
    <w:p>
      <w:pPr>
        <w:spacing w:after="200"/>
        <w:ind w:firstLine="432"/>
        <w:jc w:val="both"/>
      </w:pPr>
      <w:r>
        <w:rPr>
          <w:sz w:val="24"/>
          <w:szCs w:val="24"/>
        </w:rPr>
        <w:t xml:space="preserve">In a university human-rights course, a lecturer's charge that the Bible sanctions misogyny was answered, on that occasion, from the New Testament alone — sufficient for the moment, though a fuller answer, reaching back into the Old Testament's own internal contrast with its Near Eastern environment, is the more durable defense: is the treatment of women in Scripture better than what was culturally available at the time it was given? The evidence says clearly yes.</w:t>
      </w:r>
    </w:p>
    <w:p>
      <w:pPr>
        <w:spacing w:after="200" w:before="360"/>
      </w:pPr>
      <w:r>
        <w:rPr>
          <w:b/>
          <w:bCs/>
          <w:sz w:val="26"/>
          <w:szCs w:val="26"/>
        </w:rPr>
        <w:t xml:space="preserve">The Hard Questions Listed</w:t>
      </w:r>
    </w:p>
    <w:p>
      <w:pPr>
        <w:spacing w:after="200"/>
        <w:ind w:firstLine="432"/>
        <w:jc w:val="both"/>
      </w:pPr>
      <w:r>
        <w:rPr>
          <w:sz w:val="24"/>
          <w:szCs w:val="24"/>
        </w:rPr>
        <w:t xml:space="preserve">A working list of the specific objections a teacher must be ready to answer: Why does Sarah call Abraham "lord" (Genesis 18:12, cited approvingly by Peter in 1 Peter 3:6)? Why are Hebrew children said to belong to their father's house (Leviticus 22:13)? Why forty days of purification after the birth of a son but eighty after a daughter (Leviticus 12:2-5)? Why were there no women priests? What of the laws concerning concubines, polygamy, and bride-price? Why does Exodus 20:17 list a neighbor's wife alongside his house, servants, ox, and ass, as though she were his property?</w:t>
      </w:r>
    </w:p>
    <w:p>
      <w:pPr>
        <w:spacing w:after="200" w:before="360"/>
      </w:pPr>
      <w:r>
        <w:rPr>
          <w:b/>
          <w:bCs/>
          <w:sz w:val="26"/>
          <w:szCs w:val="26"/>
        </w:rPr>
        <w:t xml:space="preserve">The Ideal Is Genesis 1 and 2</w:t>
      </w:r>
    </w:p>
    <w:p>
      <w:pPr>
        <w:spacing w:after="0" w:before="200"/>
      </w:pPr>
      <w:r>
        <w:rPr>
          <w:b/>
          <w:bCs/>
          <w:sz w:val="24"/>
          <w:szCs w:val="24"/>
        </w:rPr>
        <w:t xml:space="preserve">Genesis 1:27</w:t>
      </w:r>
    </w:p>
    <w:p>
      <w:pPr>
        <w:spacing w:after="0"/>
        <w:ind w:left="432"/>
      </w:pPr>
      <w:r>
        <w:rPr>
          <w:sz w:val="24"/>
          <w:szCs w:val="24"/>
        </w:rPr>
        <w:t xml:space="preserve">[27]So God created man in his own image, in the image of God created he him; male and female created he them.</w:t>
      </w:r>
    </w:p>
    <w:p>
      <w:pPr>
        <w:spacing w:after="0" w:before="200"/>
      </w:pPr>
      <w:r>
        <w:rPr>
          <w:b/>
          <w:bCs/>
          <w:sz w:val="24"/>
          <w:szCs w:val="24"/>
        </w:rPr>
        <w:t xml:space="preserve">Genesis 2:24</w:t>
      </w:r>
    </w:p>
    <w:p>
      <w:pPr>
        <w:spacing w:after="0"/>
        <w:ind w:left="432"/>
      </w:pPr>
      <w:r>
        <w:rPr>
          <w:sz w:val="24"/>
          <w:szCs w:val="24"/>
        </w:rPr>
        <w:t xml:space="preserve">[24]Therefore shall a man leave his father and his mother, and shall cleave unto his wife: and they shall be one flesh.</w:t>
      </w:r>
    </w:p>
    <w:p>
      <w:pPr>
        <w:spacing w:after="200"/>
        <w:ind w:firstLine="432"/>
        <w:jc w:val="both"/>
      </w:pPr>
      <w:r>
        <w:rPr>
          <w:sz w:val="24"/>
          <w:szCs w:val="24"/>
        </w:rPr>
        <w:t xml:space="preserve">Moses' own theological model must not change from what he has already presented as the ideal: it was in Genesis 1 and 2 that he pronounced everything "good." There, God calls the two together "Adam" — humanity is one, and equal, at the outset. The Hebrew word used of the woman in Genesis 2:18, </w:t>
      </w:r>
      <w:r>
        <w:rPr>
          <w:i/>
          <w:iCs/>
          <w:sz w:val="24"/>
          <w:szCs w:val="24"/>
        </w:rPr>
        <w:t xml:space="preserve">ezer</w:t>
      </w:r>
      <w:r>
        <w:rPr>
          <w:sz w:val="24"/>
          <w:szCs w:val="24"/>
        </w:rPr>
        <w:t xml:space="preserve"> ("helper," better rendered "deliverer" or "one who rescues from trouble"), is elsewhere applied directly to God himself — a strikingly redemptive, not diminishing, term. And it is the woman's own word, not the man's, that closes out the narrative after the expulsion from Eden.</w:t>
      </w:r>
    </w:p>
    <w:p>
      <w:pPr>
        <w:spacing w:after="0" w:before="200"/>
      </w:pPr>
      <w:r>
        <w:rPr>
          <w:b/>
          <w:bCs/>
          <w:sz w:val="24"/>
          <w:szCs w:val="24"/>
        </w:rPr>
        <w:t xml:space="preserve">Genesis 4:1</w:t>
      </w:r>
    </w:p>
    <w:p>
      <w:pPr>
        <w:spacing w:after="0"/>
        <w:ind w:left="432"/>
      </w:pPr>
      <w:r>
        <w:rPr>
          <w:sz w:val="24"/>
          <w:szCs w:val="24"/>
        </w:rPr>
        <w:t xml:space="preserve">[1]...I have gotten a man from the Lord.</w:t>
      </w:r>
    </w:p>
    <w:p>
      <w:pPr>
        <w:spacing w:after="200"/>
        <w:ind w:firstLine="432"/>
        <w:jc w:val="both"/>
      </w:pPr>
      <w:r>
        <w:rPr>
          <w:sz w:val="24"/>
          <w:szCs w:val="24"/>
        </w:rPr>
        <w:t xml:space="preserve">Some hold that the "seed" who would bruise the serpent's head (Genesis 3:15) refers to the man; but the immediate context of Genesis 4 favors the seed of the woman, since it is Eve's utterance — "I have gotten a man from the Lord" — that follows directly, and it is Eve, not Adam, who speaks again; nothing further is heard from Adam himself after Genesis 3:12's "the woman... gave me." If either party was the spokesperson of the two in Scripture's own telling, it was Eve.</w:t>
      </w:r>
    </w:p>
    <w:p>
      <w:pPr>
        <w:spacing w:after="200"/>
        <w:ind w:firstLine="432"/>
        <w:jc w:val="both"/>
      </w:pPr>
      <w:r>
        <w:rPr>
          <w:sz w:val="24"/>
          <w:szCs w:val="24"/>
        </w:rPr>
        <w:t xml:space="preserve">Once this ideal is fixed — that Moses presents neither party as greater than the other — the real question becomes not whether the ideal existed but what happened to the culture afterward, and what Moses, working within a heavily patriarchal Near Eastern world he did not invent, did to protect people within the weaknesses of that inherited system. Discrimination against women existed; so, in different ways, did discrimination against men, a matter to be taken up further in due course.</w:t>
      </w:r>
    </w:p>
    <w:p>
      <w:pPr>
        <w:spacing w:after="200" w:before="360"/>
      </w:pPr>
      <w:r>
        <w:rPr>
          <w:b/>
          <w:bCs/>
          <w:sz w:val="26"/>
          <w:szCs w:val="26"/>
        </w:rPr>
        <w:t xml:space="preserve">Marriage Itself Is a Cultural Form</w:t>
      </w:r>
    </w:p>
    <w:p>
      <w:pPr>
        <w:spacing w:after="200"/>
        <w:ind w:firstLine="432"/>
        <w:jc w:val="both"/>
      </w:pPr>
      <w:r>
        <w:rPr>
          <w:sz w:val="24"/>
          <w:szCs w:val="24"/>
        </w:rPr>
        <w:t xml:space="preserve">Scripture prescribes no single method or custom of marriage; it establishes principles — faith and love — that must be found within whatever cultural form a people practices. When persons married under the customs of the world are received into the church, they are not asked to remarry; this itself concedes that marriage's form is a matter of cultural surrender, not fixed biblical prescription.</w:t>
      </w:r>
    </w:p>
    <w:p>
      <w:pPr>
        <w:spacing w:after="200" w:before="360"/>
      </w:pPr>
      <w:r>
        <w:rPr>
          <w:b/>
          <w:bCs/>
          <w:sz w:val="26"/>
          <w:szCs w:val="26"/>
        </w:rPr>
        <w:t xml:space="preserve">An Interpretive Key: "What Would Love Do?"</w:t>
      </w:r>
    </w:p>
    <w:p>
      <w:pPr>
        <w:spacing w:after="200"/>
        <w:ind w:firstLine="432"/>
        <w:jc w:val="both"/>
      </w:pPr>
      <w:r>
        <w:rPr>
          <w:sz w:val="24"/>
          <w:szCs w:val="24"/>
        </w:rPr>
        <w:t xml:space="preserve">One useful interpretive principle, associated with the twentieth-century teacher Kenneth Hagin, is motive interpretation: knowing that God's overriding motive toward fallen humanity is love, a difficult or unclear text can be approached by asking simply, "What would the love of God do?" — since that question, rightly asked, is itself an act of interpreting God's will, especially where express instruction is not given.</w:t>
      </w:r>
    </w:p>
    <w:p>
      <w:pPr>
        <w:spacing w:after="200" w:before="360"/>
      </w:pPr>
      <w:r>
        <w:rPr>
          <w:b/>
          <w:bCs/>
          <w:sz w:val="26"/>
          <w:szCs w:val="26"/>
        </w:rPr>
        <w:t xml:space="preserve">The Ambiguity of "Husband," Cultural Practice, and Christ's Own Verdict</w:t>
      </w:r>
    </w:p>
    <w:p>
      <w:pPr>
        <w:spacing w:after="200"/>
        <w:ind w:firstLine="432"/>
        <w:jc w:val="both"/>
      </w:pPr>
      <w:r>
        <w:rPr>
          <w:sz w:val="24"/>
          <w:szCs w:val="24"/>
        </w:rPr>
        <w:t xml:space="preserve">The question of which marriage ceremony — customary, court, or church — constitutes the "real" marriage is answered by Jesus' own dealings with the Samaritan woman.</w:t>
      </w:r>
    </w:p>
    <w:p>
      <w:pPr>
        <w:spacing w:after="0" w:before="200"/>
      </w:pPr>
      <w:r>
        <w:rPr>
          <w:b/>
          <w:bCs/>
          <w:sz w:val="24"/>
          <w:szCs w:val="24"/>
        </w:rPr>
        <w:t xml:space="preserve">John 4:17-18</w:t>
      </w:r>
    </w:p>
    <w:p>
      <w:pPr>
        <w:spacing w:after="0"/>
        <w:ind w:left="432"/>
      </w:pPr>
      <w:r>
        <w:rPr>
          <w:sz w:val="24"/>
          <w:szCs w:val="24"/>
        </w:rPr>
        <w:t xml:space="preserve">[17]...Thou hast well said, I have no husband:</w:t>
      </w:r>
    </w:p>
    <w:p>
      <w:pPr>
        <w:spacing w:after="0"/>
        <w:ind w:left="432"/>
      </w:pPr>
      <w:r>
        <w:rPr>
          <w:sz w:val="24"/>
          <w:szCs w:val="24"/>
        </w:rPr>
        <w:t xml:space="preserve">[18]For thou hast had five husbands; and he whom thou now hast is not thy husband...</w:t>
      </w:r>
    </w:p>
    <w:p>
      <w:pPr>
        <w:spacing w:after="200"/>
        <w:ind w:firstLine="432"/>
        <w:jc w:val="both"/>
      </w:pPr>
      <w:r>
        <w:rPr>
          <w:sz w:val="24"/>
          <w:szCs w:val="24"/>
        </w:rPr>
        <w:t xml:space="preserve">Jesus recognizes all five prior unions as genuine marriages while denying that her present arrangement counts as one — showing that legitimacy did not rest on a single prescribed form, but that a real distinction between marriage and mere cohabitation nonetheless existed and mattered.</w:t>
      </w:r>
    </w:p>
    <w:p>
      <w:pPr>
        <w:spacing w:after="200" w:before="360"/>
      </w:pPr>
      <w:r>
        <w:rPr>
          <w:b/>
          <w:bCs/>
          <w:sz w:val="26"/>
          <w:szCs w:val="26"/>
        </w:rPr>
        <w:t xml:space="preserve">Hagar, Abimelech, and the Reality of Patriarchal Custom</w:t>
      </w:r>
    </w:p>
    <w:p>
      <w:pPr>
        <w:spacing w:after="200"/>
        <w:ind w:firstLine="432"/>
        <w:jc w:val="both"/>
      </w:pPr>
      <w:r>
        <w:rPr>
          <w:sz w:val="24"/>
          <w:szCs w:val="24"/>
        </w:rPr>
        <w:t xml:space="preserve">The narrative of Sarah, Hagar, and Ishmael shows both the harshness of the patriarchal world and God's own care operating within it: it was Sarah who gave her servant to Abraham to bear a child, and later Sarah who demanded her expulsion; yet God himself protected and blessed Hagar and her son once sent away — the descendants of Ishmael remaining, to this day, both a testimony to that blessing and, depending on their own later choices, capable of great harm. Likewise, Abimelech's casual seizure of Sarah for his own harem (Genesis 20) illustrates the world Moses' legislation was actually correcting, not inventing.</w:t>
      </w:r>
    </w:p>
    <w:p>
      <w:pPr>
        <w:spacing w:after="200" w:before="360"/>
      </w:pPr>
      <w:r>
        <w:rPr>
          <w:b/>
          <w:bCs/>
          <w:sz w:val="26"/>
          <w:szCs w:val="26"/>
        </w:rPr>
        <w:t xml:space="preserve">The Scriptural Case for Equal Honor</w:t>
      </w:r>
    </w:p>
    <w:p>
      <w:pPr>
        <w:spacing w:after="0" w:before="200"/>
      </w:pPr>
      <w:r>
        <w:rPr>
          <w:b/>
          <w:bCs/>
          <w:sz w:val="24"/>
          <w:szCs w:val="24"/>
        </w:rPr>
        <w:t xml:space="preserve">Exodus 20:12</w:t>
      </w:r>
    </w:p>
    <w:p>
      <w:pPr>
        <w:spacing w:after="0"/>
        <w:ind w:left="432"/>
      </w:pPr>
      <w:r>
        <w:rPr>
          <w:sz w:val="24"/>
          <w:szCs w:val="24"/>
        </w:rPr>
        <w:t xml:space="preserve">[12]Honour thy father and thy mother: that thy days may be long upon the land which the Lord thy God giveth thee.</w:t>
      </w:r>
    </w:p>
    <w:p>
      <w:pPr>
        <w:spacing w:after="0" w:before="200"/>
      </w:pPr>
      <w:r>
        <w:rPr>
          <w:b/>
          <w:bCs/>
          <w:sz w:val="24"/>
          <w:szCs w:val="24"/>
        </w:rPr>
        <w:t xml:space="preserve">Leviticus 19:3</w:t>
      </w:r>
    </w:p>
    <w:p>
      <w:pPr>
        <w:spacing w:after="0"/>
        <w:ind w:left="432"/>
      </w:pPr>
      <w:r>
        <w:rPr>
          <w:sz w:val="24"/>
          <w:szCs w:val="24"/>
        </w:rPr>
        <w:t xml:space="preserve">[3]Ye shall fear every man his mother, and his father, and keep my sabbaths: I am the Lord your God.</w:t>
      </w:r>
    </w:p>
    <w:p>
      <w:pPr>
        <w:spacing w:after="200"/>
        <w:ind w:firstLine="432"/>
        <w:jc w:val="both"/>
      </w:pPr>
      <w:r>
        <w:rPr>
          <w:sz w:val="24"/>
          <w:szCs w:val="24"/>
        </w:rPr>
        <w:t xml:space="preserve">Leviticus 19:3 deliberately places the mother before the father — a sequence worth noting against the Code of Hammurabi and the Hittite laws, in which the majority of provisions concerning women place a mother under the control of her son. Moses corrects this directly by commanding equal honor to both parents.</w:t>
      </w:r>
    </w:p>
    <w:p>
      <w:pPr>
        <w:spacing w:after="0" w:before="200"/>
      </w:pPr>
      <w:r>
        <w:rPr>
          <w:b/>
          <w:bCs/>
          <w:sz w:val="24"/>
          <w:szCs w:val="24"/>
        </w:rPr>
        <w:t xml:space="preserve">Proverbs 6:20</w:t>
      </w:r>
    </w:p>
    <w:p>
      <w:pPr>
        <w:spacing w:after="0"/>
        <w:ind w:left="432"/>
      </w:pPr>
      <w:r>
        <w:rPr>
          <w:sz w:val="24"/>
          <w:szCs w:val="24"/>
        </w:rPr>
        <w:t xml:space="preserve">[20]My son, keep thy father's commandment, and forsake not the law of thy mother.</w:t>
      </w:r>
    </w:p>
    <w:p>
      <w:pPr>
        <w:spacing w:after="0" w:before="200"/>
      </w:pPr>
      <w:r>
        <w:rPr>
          <w:b/>
          <w:bCs/>
          <w:sz w:val="24"/>
          <w:szCs w:val="24"/>
        </w:rPr>
        <w:t xml:space="preserve">Proverbs 18:22</w:t>
      </w:r>
    </w:p>
    <w:p>
      <w:pPr>
        <w:spacing w:after="0"/>
        <w:ind w:left="432"/>
      </w:pPr>
      <w:r>
        <w:rPr>
          <w:sz w:val="24"/>
          <w:szCs w:val="24"/>
        </w:rPr>
        <w:t xml:space="preserve">[22]Whoso findeth a wife findeth a good thing, and obtaineth favour of the Lord.</w:t>
      </w:r>
    </w:p>
    <w:p>
      <w:pPr>
        <w:spacing w:after="0" w:before="200"/>
      </w:pPr>
      <w:r>
        <w:rPr>
          <w:b/>
          <w:bCs/>
          <w:sz w:val="24"/>
          <w:szCs w:val="24"/>
        </w:rPr>
        <w:t xml:space="preserve">Proverbs 19:26</w:t>
      </w:r>
    </w:p>
    <w:p>
      <w:pPr>
        <w:spacing w:after="0"/>
        <w:ind w:left="432"/>
      </w:pPr>
      <w:r>
        <w:rPr>
          <w:sz w:val="24"/>
          <w:szCs w:val="24"/>
        </w:rPr>
        <w:t xml:space="preserve">[26]He that wasteth his father, and chaseth away his mother, is a son that causeth shame, and bringeth reproach.</w:t>
      </w:r>
    </w:p>
    <w:p>
      <w:pPr>
        <w:spacing w:after="0" w:before="200"/>
      </w:pPr>
      <w:r>
        <w:rPr>
          <w:b/>
          <w:bCs/>
          <w:sz w:val="24"/>
          <w:szCs w:val="24"/>
        </w:rPr>
        <w:t xml:space="preserve">Proverbs 23:22, 25</w:t>
      </w:r>
    </w:p>
    <w:p>
      <w:pPr>
        <w:spacing w:after="0"/>
        <w:ind w:left="432"/>
      </w:pPr>
      <w:r>
        <w:rPr>
          <w:sz w:val="24"/>
          <w:szCs w:val="24"/>
        </w:rPr>
        <w:t xml:space="preserve">[22]Hearken unto thy father that begat thee, and despise not thy mother when she is old.</w:t>
      </w:r>
    </w:p>
    <w:p>
      <w:pPr>
        <w:spacing w:after="0"/>
        <w:ind w:left="432"/>
      </w:pPr>
      <w:r>
        <w:rPr>
          <w:sz w:val="24"/>
          <w:szCs w:val="24"/>
        </w:rPr>
        <w:t xml:space="preserve">[25]Thy father and thy mother shall be glad, and she that bare thee shall rejoice.</w:t>
      </w:r>
    </w:p>
    <w:p>
      <w:pPr>
        <w:spacing w:after="0" w:before="200"/>
      </w:pPr>
      <w:r>
        <w:rPr>
          <w:b/>
          <w:bCs/>
          <w:sz w:val="24"/>
          <w:szCs w:val="24"/>
        </w:rPr>
        <w:t xml:space="preserve">Song of Solomon 6:3</w:t>
      </w:r>
    </w:p>
    <w:p>
      <w:pPr>
        <w:spacing w:after="0"/>
        <w:ind w:left="432"/>
      </w:pPr>
      <w:r>
        <w:rPr>
          <w:sz w:val="24"/>
          <w:szCs w:val="24"/>
        </w:rPr>
        <w:t xml:space="preserve">[3]I am my beloved's, and my beloved is mine...</w:t>
      </w:r>
    </w:p>
    <w:p>
      <w:pPr>
        <w:spacing w:after="200"/>
        <w:ind w:firstLine="432"/>
        <w:jc w:val="both"/>
      </w:pPr>
      <w:r>
        <w:rPr>
          <w:sz w:val="24"/>
          <w:szCs w:val="24"/>
        </w:rPr>
        <w:t xml:space="preserve">Proverbs, itself an extended commentary on the law of Moses, consistently pairs father and mother as equally deserving honor, obedience, and care.</w:t>
      </w:r>
    </w:p>
    <w:p>
      <w:pPr>
        <w:spacing w:after="200" w:before="360"/>
      </w:pPr>
      <w:r>
        <w:rPr>
          <w:b/>
          <w:bCs/>
          <w:sz w:val="26"/>
          <w:szCs w:val="26"/>
        </w:rPr>
        <w:t xml:space="preserve">A Cloud of Named Women</w:t>
      </w:r>
    </w:p>
    <w:p>
      <w:pPr>
        <w:spacing w:after="200"/>
        <w:ind w:firstLine="432"/>
        <w:jc w:val="both"/>
      </w:pPr>
      <w:r>
        <w:rPr>
          <w:sz w:val="24"/>
          <w:szCs w:val="24"/>
        </w:rPr>
        <w:t xml:space="preserve">Scripture's historical record is dense with named women exercising real influence, positively and negatively alike: Eve, Sarah, Rebekah, Rachel and Leah, Miriam in Exodus, the Hebrew midwives of Exodus 1 who defied Pharaoh to preserve Israel's infant sons, Pharaoh's own daughter who raised Moses, Jethro's seven daughters and Zipporah, the daughters of Zelophehad in Numbers 27 — whose petition led Moses to revise Israel's inheritance law in the name of justice, a matter to be examined further — Deborah, Ruth, Naomi, Abigail, Bathsheba, and Delilah, whatever verdict is rendered on each individually. Romans 9 names Sarah and Rebekah in its argument; Romans 16 lists a substantial roll of women in ministry; Luke 10 records Mary sitting at Jesus' feet as a disciple alongside Martha; John's Gospel repeatedly and deliberately highlights women's role around Jesus' own ministry, culminating in the resurrection appearances of John 20. This pattern is systematic in the text, not incidental — even where the surrounding fallen culture, in Israel as much as anywhere else, still exerted its own pull.</w:t>
      </w:r>
    </w:p>
    <w:p>
      <w:pPr>
        <w:spacing w:after="200" w:before="360"/>
      </w:pPr>
      <w:r>
        <w:rPr>
          <w:b/>
          <w:bCs/>
          <w:sz w:val="26"/>
          <w:szCs w:val="26"/>
        </w:rPr>
        <w:t xml:space="preserve">Two Cautions in Both Directions</w:t>
      </w:r>
    </w:p>
    <w:p>
      <w:pPr>
        <w:spacing w:after="200"/>
        <w:ind w:firstLine="432"/>
        <w:jc w:val="both"/>
      </w:pPr>
      <w:r>
        <w:rPr>
          <w:sz w:val="24"/>
          <w:szCs w:val="24"/>
        </w:rPr>
        <w:t xml:space="preserve">None of this licenses the opposite extreme — the modern push toward erasing meaningful distinction between the sexes altogether, or toward practices Scripture nowhere sanctions, such as polyandry (multiple husbands), which stands in stark contrast to polygamy, a practice Scripture records and regulates without ever commending it as the ideal (Genesis 1-2 remains the standard). Scripture is not silent on women's ministry; it is human culture, not the text of Genesis, the Gospels, or the Epistles, that has too often been silent, or worse.</w:t>
      </w:r>
    </w:p>
    <w:p>
      <w:pPr>
        <w:spacing w:after="200" w:before="360"/>
      </w:pPr>
      <w:r>
        <w:rPr>
          <w:b/>
          <w:bCs/>
          <w:sz w:val="26"/>
          <w:szCs w:val="26"/>
        </w:rPr>
        <w:t xml:space="preserve">Answering Exodus 20:17</w:t>
      </w:r>
    </w:p>
    <w:p>
      <w:pPr>
        <w:spacing w:after="0" w:before="200"/>
      </w:pPr>
      <w:r>
        <w:rPr>
          <w:b/>
          <w:bCs/>
          <w:sz w:val="24"/>
          <w:szCs w:val="24"/>
        </w:rPr>
        <w:t xml:space="preserve">Exodus 20:17</w:t>
      </w:r>
    </w:p>
    <w:p>
      <w:pPr>
        <w:spacing w:after="0"/>
        <w:ind w:left="432"/>
      </w:pPr>
      <w:r>
        <w:rPr>
          <w:sz w:val="24"/>
          <w:szCs w:val="24"/>
        </w:rPr>
        <w:t xml:space="preserve">[17]Thou shalt not covet thy neighbour's house, thou shalt not covet thy neighbour's wife, nor his manservant, nor his maidservant, nor his ox, nor his ass, nor any thing that is thy neighbour's.</w:t>
      </w:r>
    </w:p>
    <w:p>
      <w:pPr>
        <w:spacing w:after="200"/>
        <w:ind w:firstLine="432"/>
        <w:jc w:val="both"/>
      </w:pPr>
      <w:r>
        <w:rPr>
          <w:sz w:val="24"/>
          <w:szCs w:val="24"/>
        </w:rPr>
        <w:t xml:space="preserve">This verse appears, on the surface, to place a man's wife in a list of his possessions. But the same lawgiver who wrote this also wrote, in the immediately preceding commandment, "honour thy father and thy mother" — he could not have intended "property" language for a person he elsewhere commands be honored on equal footing with the father. The construction reflects the list-form common to covenant and treaty language of the period, not a theological claim about the wife's ontological status; read against Leviticus 19:3's equal command to honor mother and father, and against the Near Eastern legal codes' own far harsher subordination of women, the correction Moses is making runs in the opposite direction from the one the surface reading suggests.</w:t>
      </w:r>
    </w:p>
    <w:p>
      <w:pPr>
        <w:spacing w:after="200" w:before="360"/>
      </w:pPr>
      <w:r>
        <w:rPr>
          <w:b/>
          <w:bCs/>
          <w:sz w:val="26"/>
          <w:szCs w:val="26"/>
        </w:rPr>
        <w:t xml:space="preserve">Why No Women Priests?</w:t>
      </w:r>
    </w:p>
    <w:p>
      <w:pPr>
        <w:spacing w:after="200"/>
        <w:ind w:firstLine="432"/>
        <w:jc w:val="both"/>
      </w:pPr>
      <w:r>
        <w:rPr>
          <w:sz w:val="24"/>
          <w:szCs w:val="24"/>
        </w:rPr>
        <w:t xml:space="preserve">The Levitical priesthood was restricted by tribe, not open to any Israelite regardless of sex — it was never a general exclusion of women from ministry function as such. Historically, in Canaanite and other Near Eastern cults, women were frequently exploited as objects of ritual and sexual sin; excluding women specifically from priestly service is best read as a corrective against that same abuse, not a verdict on women's capacity or standing. Miriam, meanwhile, occupied real, acknowledged leadership within Moses' own ministry, and Exodus 19:5-6's designation of Israel as "a kingdom of priests" was addressed to the whole nation, women included.</w:t>
      </w:r>
    </w:p>
    <w:p>
      <w:pPr>
        <w:spacing w:after="0" w:before="200"/>
      </w:pPr>
      <w:r>
        <w:rPr>
          <w:b/>
          <w:bCs/>
          <w:sz w:val="24"/>
          <w:szCs w:val="24"/>
        </w:rPr>
        <w:t xml:space="preserve">Exodus 19:5-6</w:t>
      </w:r>
    </w:p>
    <w:p>
      <w:pPr>
        <w:spacing w:after="0"/>
        <w:ind w:left="432"/>
      </w:pPr>
      <w:r>
        <w:rPr>
          <w:sz w:val="24"/>
          <w:szCs w:val="24"/>
        </w:rPr>
        <w:t xml:space="preserve">[5]...ye shall be a peculiar treasure unto me above all people: for all the earth is mine:</w:t>
      </w:r>
    </w:p>
    <w:p>
      <w:pPr>
        <w:spacing w:after="0"/>
        <w:ind w:left="432"/>
      </w:pPr>
      <w:r>
        <w:rPr>
          <w:sz w:val="24"/>
          <w:szCs w:val="24"/>
        </w:rPr>
        <w:t xml:space="preserve">[6]And ye shall be unto me a kingdom of priests, and an holy nation...</w:t>
      </w:r>
    </w:p>
    <w:p>
      <w:pPr>
        <w:spacing w:after="200"/>
        <w:ind w:firstLine="432"/>
        <w:jc w:val="both"/>
      </w:pPr>
      <w:r>
        <w:rPr>
          <w:sz w:val="24"/>
          <w:szCs w:val="24"/>
        </w:rPr>
        <w:t xml:space="preserve">Where women were later restricted from certain areas of temple access, the restriction mirrored — and reversed the abuses of — practices in which menstruating women were used in pagan ritual, not a general theology of barring women. Cultic prostitution, male and female, was widespread in Canaan; Moses' provisions, whatever their limitations by modern standards, were a marked improvement over what prevailed around Israel.</w:t>
      </w:r>
    </w:p>
    <w:p>
      <w:pPr>
        <w:spacing w:after="200" w:before="360"/>
      </w:pPr>
      <w:r>
        <w:rPr>
          <w:b/>
          <w:bCs/>
          <w:sz w:val="26"/>
          <w:szCs w:val="26"/>
        </w:rPr>
        <w:t xml:space="preserve">The Deepest Answer: A Woman Would Bear the Messiah</w:t>
      </w:r>
    </w:p>
    <w:p>
      <w:pPr>
        <w:spacing w:after="200"/>
        <w:ind w:firstLine="432"/>
        <w:jc w:val="both"/>
      </w:pPr>
      <w:r>
        <w:rPr>
          <w:sz w:val="24"/>
          <w:szCs w:val="24"/>
        </w:rPr>
        <w:t xml:space="preserve">The most decisive evidence against a theology of scriptural misogyny is prophetic: that the Messiah himself would be born of a woman says a great deal on its own, and the prophetic imagery of Zion is consistently that of a woman in travail — imagery Jesus himself takes up directly. Taken as a whole — not by isolating individual proof-texts on either side — the theology of Scripture is unambiguous on the fundamental equality of male and female before God, even where the language of a patriarchal age leaves isolated verses open to surface misreading. Real interpretive tensions remain and deserve honest handling; but they do not sustain a verdict of scriptural discrimination against women once the whole counsel of Scripture is examined together.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2026-07-14T07:52:50.132Z</dcterms:created>
  <dcterms:modified xsi:type="dcterms:W3CDTF">2026-07-14T07:52:50.136Z</dcterms:modified>
</cp:coreProperties>
</file>

<file path=docProps/custom.xml><?xml version="1.0" encoding="utf-8"?>
<Properties xmlns="http://schemas.openxmlformats.org/officeDocument/2006/custom-properties" xmlns:vt="http://schemas.openxmlformats.org/officeDocument/2006/docPropsVTypes"/>
</file>