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22</w:t>
      </w:r>
    </w:p>
    <w:p>
      <w:pPr>
        <w:spacing w:after="360"/>
        <w:jc w:val="center"/>
      </w:pPr>
      <w:r>
        <w:rPr>
          <w:b/>
          <w:bCs/>
          <w:sz w:val="32"/>
          <w:szCs w:val="32"/>
        </w:rPr>
        <w:t xml:space="preserve">Servanthood in Israel: A Law against Poverty, Not an Institution of Property</w:t>
      </w:r>
    </w:p>
    <w:p>
      <w:pPr>
        <w:spacing w:after="200" w:before="360"/>
      </w:pPr>
      <w:r>
        <w:rPr>
          <w:b/>
          <w:bCs/>
          <w:sz w:val="26"/>
          <w:szCs w:val="26"/>
        </w:rPr>
        <w:t xml:space="preserve">A Nation's Legislator, Not a Local Church Pastor</w:t>
      </w:r>
    </w:p>
    <w:p>
      <w:pPr>
        <w:spacing w:after="200"/>
        <w:ind w:firstLine="432"/>
        <w:jc w:val="both"/>
      </w:pPr>
      <w:r>
        <w:rPr>
          <w:sz w:val="24"/>
          <w:szCs w:val="24"/>
        </w:rPr>
        <w:t xml:space="preserve">The consistent pairing "Moses and the prophets" throughout the New Testament (Acts 3:21-25; 13:38-39; 26:22; 28:23; John 1:45; Luke 24:27, 44) reflects the settled, structural fact that Israel was a nation, not a local congregation — a people requiring laws to govern employment, commerce, property, food, and every other dimension of communal life, exactly as any modern nation does. Jesus himself identifies the reason such laws took the shape they did: "the hardness of your heart" (Matthew 19:8), not the ideal of Genesis, which would have been the law of Christ, the law of the Spirit of life, made fully operative from the outset. Where that ideal was not yet realizable in a people fresh out of four centuries of slavery, God worked through what was available — precisely as he did throughout the whole of the Old Testament's engagement with a fallen world's own institutions.</w:t>
      </w:r>
    </w:p>
    <w:p>
      <w:pPr>
        <w:spacing w:after="200" w:before="360"/>
      </w:pPr>
      <w:r>
        <w:rPr>
          <w:b/>
          <w:bCs/>
          <w:sz w:val="26"/>
          <w:szCs w:val="26"/>
        </w:rPr>
        <w:t xml:space="preserve">Theology Lies behind Every Major Historical Injustice — and Every Correction of It</w:t>
      </w:r>
    </w:p>
    <w:p>
      <w:pPr>
        <w:spacing w:after="200"/>
        <w:ind w:firstLine="432"/>
        <w:jc w:val="both"/>
      </w:pPr>
      <w:r>
        <w:rPr>
          <w:sz w:val="24"/>
          <w:szCs w:val="24"/>
        </w:rPr>
        <w:t xml:space="preserve">A sober historical fact underlies the urgency of handling this material carefully: theology, rightly or wrongly applied, lies behind virtually every major social evil in recorded history, slavery included. Historical accounts of the transatlantic slave trade record slavers holding church services and singing hymns even as captives were being chained for transport at coastal fortresses such as Elmina Castle — a grim testimony that those responsible believed their own conduct was scripturally justified. The same is true of American chattel slavery, where slaveholding congregations regularly appealed to Scripture in their own defense, and of apartheid in South Africa, whose theological architects were, notoriously, drawn from Reformed church circles. This is precisely why careless or self-serving handling of Scripture cannot be treated as a minor or merely academic failing: it has repeatedly供 supplied the theological cover for some of history's worst atrocities, which is reason enough to take the greatest possible care in reading the very texts most often abused for this purpose — the laws concerning servants.</w:t>
      </w:r>
    </w:p>
    <w:p>
      <w:pPr>
        <w:spacing w:after="200" w:before="360"/>
      </w:pPr>
      <w:r>
        <w:rPr>
          <w:b/>
          <w:bCs/>
          <w:sz w:val="26"/>
          <w:szCs w:val="26"/>
        </w:rPr>
        <w:t xml:space="preserve">"Slave" Is the Wrong Word: Indentured, Contractual Service</w:t>
      </w:r>
    </w:p>
    <w:p>
      <w:pPr>
        <w:spacing w:after="200"/>
        <w:ind w:firstLine="432"/>
        <w:jc w:val="both"/>
      </w:pPr>
      <w:r>
        <w:rPr>
          <w:sz w:val="24"/>
          <w:szCs w:val="24"/>
        </w:rPr>
        <w:t xml:space="preserve">The single most important corrective to bring to this material is lexical: the servanthood described in the Hebrew Bible bears little resemblance to the transatlantic slave trade's forced abduction and permanent, hereditary bondage. It corresponds far more closely to what is technically called indentured servitude — an employee bound by a voluntary, signed agreement to work without wages for a fixed period, typically to discharge a debt, with the arrangement's terms sometimes transferable to a third party but never open-ended or involuntary at the outset. The Hebrew word translated "master," </w:t>
      </w:r>
      <w:r>
        <w:rPr>
          <w:i/>
          <w:iCs/>
          <w:sz w:val="24"/>
          <w:szCs w:val="24"/>
        </w:rPr>
        <w:t xml:space="preserve">adon</w:t>
      </w:r>
      <w:r>
        <w:rPr>
          <w:sz w:val="24"/>
          <w:szCs w:val="24"/>
        </w:rPr>
        <w:t xml:space="preserve">, is better rendered "employer" or "boss"; the word translated "servant," </w:t>
      </w:r>
      <w:r>
        <w:rPr>
          <w:i/>
          <w:iCs/>
          <w:sz w:val="24"/>
          <w:szCs w:val="24"/>
        </w:rPr>
        <w:t xml:space="preserve">ebed</w:t>
      </w:r>
      <w:r>
        <w:rPr>
          <w:sz w:val="24"/>
          <w:szCs w:val="24"/>
        </w:rPr>
        <w:t xml:space="preserve">, functioned as something closer to "employee" than to "slave" in the modern, racialized sense. Though the vocabulary of buying and selling is indeed used of such arrangements, this reflects the transfer of a contracted service, not a claim that the person himself was mere property — no differently than modern sports reporting can speak of a club "buying" or "selling" a player's contract without implying the player is chattel.</w:t>
      </w:r>
    </w:p>
    <w:p>
      <w:pPr>
        <w:spacing w:after="200" w:before="360"/>
      </w:pPr>
      <w:r>
        <w:rPr>
          <w:b/>
          <w:bCs/>
          <w:sz w:val="26"/>
          <w:szCs w:val="26"/>
        </w:rPr>
        <w:t xml:space="preserve">Jacob's Service to Laban: The Pattern of Voluntary Debt-Service</w:t>
      </w:r>
    </w:p>
    <w:p>
      <w:pPr>
        <w:spacing w:after="0" w:before="200"/>
      </w:pPr>
      <w:r>
        <w:rPr>
          <w:b/>
          <w:bCs/>
          <w:sz w:val="24"/>
          <w:szCs w:val="24"/>
        </w:rPr>
        <w:t xml:space="preserve">Genesis 29:15, 18, 20</w:t>
      </w:r>
    </w:p>
    <w:p>
      <w:pPr>
        <w:spacing w:after="0"/>
        <w:ind w:left="432"/>
      </w:pPr>
      <w:r>
        <w:rPr>
          <w:sz w:val="24"/>
          <w:szCs w:val="24"/>
        </w:rPr>
        <w:t xml:space="preserve">[15]...Because thou art my brother, shouldest thou therefore serve me for nought? tell me, what shall thy wages be?</w:t>
      </w:r>
    </w:p>
    <w:p>
      <w:pPr>
        <w:spacing w:after="0"/>
        <w:ind w:left="432"/>
      </w:pPr>
      <w:r>
        <w:rPr>
          <w:sz w:val="24"/>
          <w:szCs w:val="24"/>
        </w:rPr>
        <w:t xml:space="preserve">[18]...I will serve thee seven years for Rachel thy younger daughter.</w:t>
      </w:r>
    </w:p>
    <w:p>
      <w:pPr>
        <w:spacing w:after="0"/>
        <w:ind w:left="432"/>
      </w:pPr>
      <w:r>
        <w:rPr>
          <w:sz w:val="24"/>
          <w:szCs w:val="24"/>
        </w:rPr>
        <w:t xml:space="preserve">[20]And Jacob served seven years for Rachel; and they seemed unto him but a few days, for the love he had to her.</w:t>
      </w:r>
    </w:p>
    <w:p>
      <w:pPr>
        <w:spacing w:after="200"/>
        <w:ind w:firstLine="432"/>
        <w:jc w:val="both"/>
      </w:pPr>
      <w:r>
        <w:rPr>
          <w:sz w:val="24"/>
          <w:szCs w:val="24"/>
        </w:rPr>
        <w:t xml:space="preserve">Jacob's own arrangement with his uncle Laban — years of labor rendered voluntarily in exchange for a desired outcome — is the paradigm case behind Israel's later legislation on servanthood: an arrangement entered into by the servant's own will, for his own benefit, not imposed by force.</w:t>
      </w:r>
    </w:p>
    <w:p>
      <w:pPr>
        <w:spacing w:after="0" w:before="200"/>
      </w:pPr>
      <w:r>
        <w:rPr>
          <w:b/>
          <w:bCs/>
          <w:sz w:val="24"/>
          <w:szCs w:val="24"/>
        </w:rPr>
        <w:t xml:space="preserve">Leviticus 25:47-48</w:t>
      </w:r>
    </w:p>
    <w:p>
      <w:pPr>
        <w:spacing w:after="0"/>
        <w:ind w:left="432"/>
      </w:pPr>
      <w:r>
        <w:rPr>
          <w:sz w:val="24"/>
          <w:szCs w:val="24"/>
        </w:rPr>
        <w:t xml:space="preserve">[47]And if a sojourner or stranger wax rich by thee, and thy brother that dwelleth by him wax poor, and sell himself unto the stranger or sojourner by thee...</w:t>
      </w:r>
    </w:p>
    <w:p>
      <w:pPr>
        <w:spacing w:after="0"/>
        <w:ind w:left="432"/>
      </w:pPr>
      <w:r>
        <w:rPr>
          <w:sz w:val="24"/>
          <w:szCs w:val="24"/>
        </w:rPr>
        <w:t xml:space="preserve">[48]After that he is sold he may be redeemed again; one of his brethren may redeem him:</w:t>
      </w:r>
    </w:p>
    <w:p>
      <w:pPr>
        <w:spacing w:after="200"/>
        <w:ind w:firstLine="432"/>
        <w:jc w:val="both"/>
      </w:pPr>
      <w:r>
        <w:rPr>
          <w:sz w:val="24"/>
          <w:szCs w:val="24"/>
        </w:rPr>
        <w:t xml:space="preserve">The typical route into such servanthood was economic distress — a failed harvest, an unpayable debt — after which a person, or occasionally his family, would enter into contracted service to discharge that debt, with a kinsman-redeemer able to intervene and pay off the debt on his behalf at any point, precisely the background against which the whole Old Testament concept of "redemption" is to be understood.</w:t>
      </w:r>
    </w:p>
    <w:p>
      <w:pPr>
        <w:spacing w:after="200" w:before="360"/>
      </w:pPr>
      <w:r>
        <w:rPr>
          <w:b/>
          <w:bCs/>
          <w:sz w:val="26"/>
          <w:szCs w:val="26"/>
        </w:rPr>
        <w:t xml:space="preserve">Israel's Servant Laws Were, by Wide Historical Comparison, the Mildest in the Ancient World</w:t>
      </w:r>
    </w:p>
    <w:p>
      <w:pPr>
        <w:spacing w:after="200"/>
        <w:ind w:firstLine="432"/>
        <w:jc w:val="both"/>
      </w:pPr>
      <w:r>
        <w:rPr>
          <w:sz w:val="24"/>
          <w:szCs w:val="24"/>
        </w:rPr>
        <w:t xml:space="preserve">A comparison with the documented legal codes of the surrounding Near Eastern world — Hittite law, the Code of Hammurabi, the laws of Eshnunna — shows that Moses' legislation on servanthood was, by a wide margin, the most protective of the servant then known to exist anywhere in that world. It is therefore fundamentally dishonest to isolate Israel's servant laws and treat Israel as though it existed on a different moral plane than its neighbors, when in every documented comparison it was, if anything, considerably ahead of them.</w:t>
      </w:r>
    </w:p>
    <w:p>
      <w:pPr>
        <w:spacing w:after="200" w:before="360"/>
      </w:pPr>
      <w:r>
        <w:rPr>
          <w:b/>
          <w:bCs/>
          <w:sz w:val="26"/>
          <w:szCs w:val="26"/>
        </w:rPr>
        <w:t xml:space="preserve">The Seventh Year of Release: No Servanthood for Life</w:t>
      </w:r>
    </w:p>
    <w:p>
      <w:pPr>
        <w:spacing w:after="0" w:before="200"/>
      </w:pPr>
      <w:r>
        <w:rPr>
          <w:b/>
          <w:bCs/>
          <w:sz w:val="24"/>
          <w:szCs w:val="24"/>
        </w:rPr>
        <w:t xml:space="preserve">Leviticus 25:54-55</w:t>
      </w:r>
    </w:p>
    <w:p>
      <w:pPr>
        <w:spacing w:after="0"/>
        <w:ind w:left="432"/>
      </w:pPr>
      <w:r>
        <w:rPr>
          <w:sz w:val="24"/>
          <w:szCs w:val="24"/>
        </w:rPr>
        <w:t xml:space="preserve">[54]And if he be not redeemed in these years, then he shall go out in the year of jubile, both he, and his children with him.</w:t>
      </w:r>
    </w:p>
    <w:p>
      <w:pPr>
        <w:spacing w:after="0"/>
        <w:ind w:left="432"/>
      </w:pPr>
      <w:r>
        <w:rPr>
          <w:sz w:val="24"/>
          <w:szCs w:val="24"/>
        </w:rPr>
        <w:t xml:space="preserve">[55]For unto me the children of Israel are servants; they are my servants whom I brought forth out of the land of Egypt: I am the Lord your God.</w:t>
      </w:r>
    </w:p>
    <w:p>
      <w:pPr>
        <w:spacing w:after="0" w:before="200"/>
      </w:pPr>
      <w:r>
        <w:rPr>
          <w:b/>
          <w:bCs/>
          <w:sz w:val="24"/>
          <w:szCs w:val="24"/>
        </w:rPr>
        <w:t xml:space="preserve">Deuteronomy 15:1-2, 12-15</w:t>
      </w:r>
    </w:p>
    <w:p>
      <w:pPr>
        <w:spacing w:after="0"/>
        <w:ind w:left="432"/>
      </w:pPr>
      <w:r>
        <w:rPr>
          <w:sz w:val="24"/>
          <w:szCs w:val="24"/>
        </w:rPr>
        <w:t xml:space="preserve">[1]At the end of every seven years thou shalt make a release.</w:t>
      </w:r>
    </w:p>
    <w:p>
      <w:pPr>
        <w:spacing w:after="0"/>
        <w:ind w:left="432"/>
      </w:pPr>
      <w:r>
        <w:rPr>
          <w:sz w:val="24"/>
          <w:szCs w:val="24"/>
        </w:rPr>
        <w:t xml:space="preserve">[2]...every creditor that lendeth ought unto his neighbour shall release it...</w:t>
      </w:r>
    </w:p>
    <w:p>
      <w:pPr>
        <w:spacing w:after="0"/>
        <w:ind w:left="432"/>
      </w:pPr>
      <w:r>
        <w:rPr>
          <w:sz w:val="24"/>
          <w:szCs w:val="24"/>
        </w:rPr>
        <w:t xml:space="preserve">[12]And if thy brother, an Hebrew man, or an Hebrew woman, be sold unto thee, and serve thee six years; then in the seventh year thou shalt let him go free from thee.</w:t>
      </w:r>
    </w:p>
    <w:p>
      <w:pPr>
        <w:spacing w:after="0"/>
        <w:ind w:left="432"/>
      </w:pPr>
      <w:r>
        <w:rPr>
          <w:sz w:val="24"/>
          <w:szCs w:val="24"/>
        </w:rPr>
        <w:t xml:space="preserve">[13]And when thou sendest him out free from thee, thou shalt not let him go away empty:</w:t>
      </w:r>
    </w:p>
    <w:p>
      <w:pPr>
        <w:spacing w:after="0"/>
        <w:ind w:left="432"/>
      </w:pPr>
      <w:r>
        <w:rPr>
          <w:sz w:val="24"/>
          <w:szCs w:val="24"/>
        </w:rPr>
        <w:t xml:space="preserve">[14]Thou shalt furnish him liberally out of thy flock, and out of thy floor, and out of thy winepress...</w:t>
      </w:r>
    </w:p>
    <w:p>
      <w:pPr>
        <w:spacing w:after="0"/>
        <w:ind w:left="432"/>
      </w:pPr>
      <w:r>
        <w:rPr>
          <w:sz w:val="24"/>
          <w:szCs w:val="24"/>
        </w:rPr>
        <w:t xml:space="preserve">[15]And thou shalt remember that thou wast a bondman in the land of Egypt, and the Lord thy God redeemed thee: therefore I command thee this thing to day.</w:t>
      </w:r>
    </w:p>
    <w:p>
      <w:pPr>
        <w:spacing w:after="200"/>
        <w:ind w:firstLine="432"/>
        <w:jc w:val="both"/>
      </w:pPr>
      <w:r>
        <w:rPr>
          <w:sz w:val="24"/>
          <w:szCs w:val="24"/>
        </w:rPr>
        <w:t xml:space="preserve">This is a fixed, legislated, non-negotiable release, not a matter left to a master's private discretion as in comparable Hittite provisions, which permitted but never required release. By the seventh year — the number itself carrying the same symbolism of completion already traced throughout this study — every debt-servant was to go free, furnished generously rather than sent away destitute, precisely because Israel was itself commanded to remember its own bondage in Egypt and its own redemption from it. Only where a servant himself freely chose to remain — "I love my master, my wife, and my children; I will not go out free" (Exodus 21:5) — could the arrangement extend beyond that term, and even then by the servant's own expressed will, not by compulsion.</w:t>
      </w:r>
    </w:p>
    <w:p>
      <w:pPr>
        <w:spacing w:after="200" w:before="360"/>
      </w:pPr>
      <w:r>
        <w:rPr>
          <w:b/>
          <w:bCs/>
          <w:sz w:val="26"/>
          <w:szCs w:val="26"/>
        </w:rPr>
        <w:t xml:space="preserve">Protections for the Poor Woven throughout the Law</w:t>
      </w:r>
    </w:p>
    <w:p>
      <w:pPr>
        <w:spacing w:after="0" w:before="200"/>
      </w:pPr>
      <w:r>
        <w:rPr>
          <w:b/>
          <w:bCs/>
          <w:sz w:val="24"/>
          <w:szCs w:val="24"/>
        </w:rPr>
        <w:t xml:space="preserve">Leviticus 19:9-10</w:t>
      </w:r>
    </w:p>
    <w:p>
      <w:pPr>
        <w:spacing w:after="0"/>
        <w:ind w:left="432"/>
      </w:pPr>
      <w:r>
        <w:rPr>
          <w:sz w:val="24"/>
          <w:szCs w:val="24"/>
        </w:rPr>
        <w:t xml:space="preserve">[9]...thou shalt not wholly reap the corners of thy field, neither shalt thou gather the gleanings of thy harvest.</w:t>
      </w:r>
    </w:p>
    <w:p>
      <w:pPr>
        <w:spacing w:after="0"/>
        <w:ind w:left="432"/>
      </w:pPr>
      <w:r>
        <w:rPr>
          <w:sz w:val="24"/>
          <w:szCs w:val="24"/>
        </w:rPr>
        <w:t xml:space="preserve">[10]...thou shalt leave them for the poor and stranger: I am the Lord your God.</w:t>
      </w:r>
    </w:p>
    <w:p>
      <w:pPr>
        <w:spacing w:after="0" w:before="200"/>
      </w:pPr>
      <w:r>
        <w:rPr>
          <w:b/>
          <w:bCs/>
          <w:sz w:val="24"/>
          <w:szCs w:val="24"/>
        </w:rPr>
        <w:t xml:space="preserve">Deuteronomy 24:19-21</w:t>
      </w:r>
    </w:p>
    <w:p>
      <w:pPr>
        <w:spacing w:after="0"/>
        <w:ind w:left="432"/>
      </w:pPr>
      <w:r>
        <w:rPr>
          <w:sz w:val="24"/>
          <w:szCs w:val="24"/>
        </w:rPr>
        <w:t xml:space="preserve">[19]...thou shalt not go again to fetch it: it shall be for the stranger, for the fatherless, and for the widow...</w:t>
      </w:r>
    </w:p>
    <w:p>
      <w:pPr>
        <w:spacing w:after="0"/>
        <w:ind w:left="432"/>
      </w:pPr>
      <w:r>
        <w:rPr>
          <w:sz w:val="24"/>
          <w:szCs w:val="24"/>
        </w:rPr>
        <w:t xml:space="preserve">[21]When thou gatherest the grapes of thy vineyard, thou shalt not glean it afterward: it shall be for the stranger, for the fatherless, and for the widow.</w:t>
      </w:r>
    </w:p>
    <w:p>
      <w:pPr>
        <w:spacing w:after="0" w:before="200"/>
      </w:pPr>
      <w:r>
        <w:rPr>
          <w:b/>
          <w:bCs/>
          <w:sz w:val="24"/>
          <w:szCs w:val="24"/>
        </w:rPr>
        <w:t xml:space="preserve">Exodus 22:25</w:t>
      </w:r>
    </w:p>
    <w:p>
      <w:pPr>
        <w:spacing w:after="0"/>
        <w:ind w:left="432"/>
      </w:pPr>
      <w:r>
        <w:rPr>
          <w:sz w:val="24"/>
          <w:szCs w:val="24"/>
        </w:rPr>
        <w:t xml:space="preserve">[25]If thou lend money to any of my people that is poor by thee, thou shalt not be to him as an usurer, neither shalt thou lay upon him usury.</w:t>
      </w:r>
    </w:p>
    <w:p>
      <w:pPr>
        <w:spacing w:after="0" w:before="200"/>
      </w:pPr>
      <w:r>
        <w:rPr>
          <w:b/>
          <w:bCs/>
          <w:sz w:val="24"/>
          <w:szCs w:val="24"/>
        </w:rPr>
        <w:t xml:space="preserve">Leviticus 25:35-36</w:t>
      </w:r>
    </w:p>
    <w:p>
      <w:pPr>
        <w:spacing w:after="0"/>
        <w:ind w:left="432"/>
      </w:pPr>
      <w:r>
        <w:rPr>
          <w:sz w:val="24"/>
          <w:szCs w:val="24"/>
        </w:rPr>
        <w:t xml:space="preserve">[35]And if thy brother be waxen poor, and fallen in decay with thee; then thou shalt relieve him...</w:t>
      </w:r>
    </w:p>
    <w:p>
      <w:pPr>
        <w:spacing w:after="0"/>
        <w:ind w:left="432"/>
      </w:pPr>
      <w:r>
        <w:rPr>
          <w:sz w:val="24"/>
          <w:szCs w:val="24"/>
        </w:rPr>
        <w:t xml:space="preserve">[36]Take thou no usury of him, or increase: but fear thy God; that thy brother may live with thee.</w:t>
      </w:r>
    </w:p>
    <w:p>
      <w:pPr>
        <w:spacing w:after="200"/>
        <w:ind w:firstLine="432"/>
        <w:jc w:val="both"/>
      </w:pPr>
      <w:r>
        <w:rPr>
          <w:sz w:val="24"/>
          <w:szCs w:val="24"/>
        </w:rPr>
        <w:t xml:space="preserve">The gleaning laws, the prohibition on interest-bearing loans to the poor, and the tithe's own extension to the fatherless and the widow, alongside the priesthood, together demonstrate that provision for the poor was not a marginal afterthought within the Mosaic legislation but a structural, load-bearing feature of it, woven through Exodus, Leviticus, Numbers, and Deuteronomy alike — a feature with no comparable parallel in any other documented Near Eastern legal code of the period.</w:t>
      </w:r>
    </w:p>
    <w:p>
      <w:pPr>
        <w:spacing w:after="200" w:before="360"/>
      </w:pPr>
      <w:r>
        <w:rPr>
          <w:b/>
          <w:bCs/>
          <w:sz w:val="26"/>
          <w:szCs w:val="26"/>
        </w:rPr>
        <w:t xml:space="preserve">Job 31 and the Equality of Servant and Master</w:t>
      </w:r>
    </w:p>
    <w:p>
      <w:pPr>
        <w:spacing w:after="0" w:before="200"/>
      </w:pPr>
      <w:r>
        <w:rPr>
          <w:b/>
          <w:bCs/>
          <w:sz w:val="24"/>
          <w:szCs w:val="24"/>
        </w:rPr>
        <w:t xml:space="preserve">Job 31:13-15</w:t>
      </w:r>
    </w:p>
    <w:p>
      <w:pPr>
        <w:spacing w:after="0"/>
        <w:ind w:left="432"/>
      </w:pPr>
      <w:r>
        <w:rPr>
          <w:sz w:val="24"/>
          <w:szCs w:val="24"/>
        </w:rPr>
        <w:t xml:space="preserve">[13]If I did despise the cause of my manservant or of my maidservant, when they contended with me;</w:t>
      </w:r>
    </w:p>
    <w:p>
      <w:pPr>
        <w:spacing w:after="0"/>
        <w:ind w:left="432"/>
      </w:pPr>
      <w:r>
        <w:rPr>
          <w:sz w:val="24"/>
          <w:szCs w:val="24"/>
        </w:rPr>
        <w:t xml:space="preserve">[14]What then shall I do when God riseth up? and when he visiteth, what shall I answer him?</w:t>
      </w:r>
    </w:p>
    <w:p>
      <w:pPr>
        <w:spacing w:after="0"/>
        <w:ind w:left="432"/>
      </w:pPr>
      <w:r>
        <w:rPr>
          <w:sz w:val="24"/>
          <w:szCs w:val="24"/>
        </w:rPr>
        <w:t xml:space="preserve">[15]Did not he that made me in the womb make him? and did not one fashion us in the womb?</w:t>
      </w:r>
    </w:p>
    <w:p>
      <w:pPr>
        <w:spacing w:after="200"/>
        <w:ind w:firstLine="432"/>
        <w:jc w:val="both"/>
      </w:pPr>
      <w:r>
        <w:rPr>
          <w:sz w:val="24"/>
          <w:szCs w:val="24"/>
        </w:rPr>
        <w:t xml:space="preserve">Job's own appeal to a common origin in the womb — the same maker fashioning both servant and master — grounds the equality of persons directly in Genesis 1:26-27's shared image of God, applied concretely to the treatment of one's own household servants.</w:t>
      </w:r>
    </w:p>
    <w:p>
      <w:pPr>
        <w:spacing w:after="200" w:before="360"/>
      </w:pPr>
      <w:r>
        <w:rPr>
          <w:b/>
          <w:bCs/>
          <w:sz w:val="26"/>
          <w:szCs w:val="26"/>
        </w:rPr>
        <w:t xml:space="preserve">A Documented Scholarly Verdict on the Bible's Distinctiveness</w:t>
      </w:r>
    </w:p>
    <w:p>
      <w:pPr>
        <w:spacing w:after="200"/>
        <w:ind w:firstLine="432"/>
        <w:jc w:val="both"/>
      </w:pPr>
      <w:r>
        <w:rPr>
          <w:sz w:val="24"/>
          <w:szCs w:val="24"/>
        </w:rPr>
        <w:t xml:space="preserve">A standard academic reference work on biblical antiquity, the </w:t>
      </w:r>
      <w:r>
        <w:rPr>
          <w:i/>
          <w:iCs/>
          <w:sz w:val="24"/>
          <w:szCs w:val="24"/>
        </w:rPr>
        <w:t xml:space="preserve">Anchor Bible Dictionary</w:t>
      </w:r>
      <w:r>
        <w:rPr>
          <w:sz w:val="24"/>
          <w:szCs w:val="24"/>
        </w:rPr>
        <w:t xml:space="preserve">, concludes on this subject that the treatment of servants found in the Hebrew Bible has few parallels anywhere in ancient world literature in its concern to treat servants "as human beings for their own sakes and not just in the interest of their masters," noting that elsewhere in the surrounding legal world, a slave was regarded essentially as "the object of rights" rather than a bearer of them, a status largely alien to Israel's own laws even where full legal equality was not achieved.</w:t>
      </w:r>
    </w:p>
    <w:p>
      <w:pPr>
        <w:spacing w:after="200" w:before="360"/>
      </w:pPr>
      <w:r>
        <w:rPr>
          <w:b/>
          <w:bCs/>
          <w:sz w:val="26"/>
          <w:szCs w:val="26"/>
        </w:rPr>
        <w:t xml:space="preserve">Kidnapping Was a Capital Offense — the Opposite of the Slave Trade</w:t>
      </w:r>
    </w:p>
    <w:p>
      <w:pPr>
        <w:spacing w:after="0" w:before="200"/>
      </w:pPr>
      <w:r>
        <w:rPr>
          <w:b/>
          <w:bCs/>
          <w:sz w:val="24"/>
          <w:szCs w:val="24"/>
        </w:rPr>
        <w:t xml:space="preserve">Exodus 21:16</w:t>
      </w:r>
    </w:p>
    <w:p>
      <w:pPr>
        <w:spacing w:after="0"/>
        <w:ind w:left="432"/>
      </w:pPr>
      <w:r>
        <w:rPr>
          <w:sz w:val="24"/>
          <w:szCs w:val="24"/>
        </w:rPr>
        <w:t xml:space="preserve">[16]And he that stealeth a man, and selleth him, or if he be found in his hand, he shall surely be put to death.</w:t>
      </w:r>
    </w:p>
    <w:p>
      <w:pPr>
        <w:spacing w:after="0" w:before="200"/>
      </w:pPr>
      <w:r>
        <w:rPr>
          <w:b/>
          <w:bCs/>
          <w:sz w:val="24"/>
          <w:szCs w:val="24"/>
        </w:rPr>
        <w:t xml:space="preserve">Deuteronomy 24:7</w:t>
      </w:r>
    </w:p>
    <w:p>
      <w:pPr>
        <w:spacing w:after="0"/>
        <w:ind w:left="432"/>
      </w:pPr>
      <w:r>
        <w:rPr>
          <w:sz w:val="24"/>
          <w:szCs w:val="24"/>
        </w:rPr>
        <w:t xml:space="preserve">[7]If a man be found stealing any of his brethren of the children of Israel, and maketh merchandise of him, or selleth him; then that thief shall die...</w:t>
      </w:r>
    </w:p>
    <w:p>
      <w:pPr>
        <w:spacing w:after="200"/>
        <w:ind w:firstLine="432"/>
        <w:jc w:val="both"/>
      </w:pPr>
      <w:r>
        <w:rPr>
          <w:sz w:val="24"/>
          <w:szCs w:val="24"/>
        </w:rPr>
        <w:t xml:space="preserve">This provision criminalizes, with the harshest available penalty, the very practice — capturing and selling a human being — that defines the transatlantic slave trade later defended, ironically and dishonestly, by appeal to this same Bible. Joseph's own brothers, in selling him into slavery, committed precisely the offense this law condemns; 1 Timothy 1:10 lists "menstealers," kidnappers, among the lawless and disobedient the law was given to restrain.</w:t>
      </w:r>
    </w:p>
    <w:p>
      <w:pPr>
        <w:spacing w:after="200" w:before="360"/>
      </w:pPr>
      <w:r>
        <w:rPr>
          <w:b/>
          <w:bCs/>
          <w:sz w:val="26"/>
          <w:szCs w:val="26"/>
        </w:rPr>
        <w:t xml:space="preserve">Runaway Servants Were Protected, Not Returned for Punishment</w:t>
      </w:r>
    </w:p>
    <w:p>
      <w:pPr>
        <w:spacing w:after="0" w:before="200"/>
      </w:pPr>
      <w:r>
        <w:rPr>
          <w:b/>
          <w:bCs/>
          <w:sz w:val="24"/>
          <w:szCs w:val="24"/>
        </w:rPr>
        <w:t xml:space="preserve">Deuteronomy 23:15-16</w:t>
      </w:r>
    </w:p>
    <w:p>
      <w:pPr>
        <w:spacing w:after="0"/>
        <w:ind w:left="432"/>
      </w:pPr>
      <w:r>
        <w:rPr>
          <w:sz w:val="24"/>
          <w:szCs w:val="24"/>
        </w:rPr>
        <w:t xml:space="preserve">[15]Thou shalt not deliver unto his master the servant which is escaped from his master unto thee:</w:t>
      </w:r>
    </w:p>
    <w:p>
      <w:pPr>
        <w:spacing w:after="0"/>
        <w:ind w:left="432"/>
      </w:pPr>
      <w:r>
        <w:rPr>
          <w:sz w:val="24"/>
          <w:szCs w:val="24"/>
        </w:rPr>
        <w:t xml:space="preserve">[16]He shall dwell with thee, even among you, in that place which he shall choose in one of thy gates, where it liketh him best: thou shalt not oppress him.</w:t>
      </w:r>
    </w:p>
    <w:p>
      <w:pPr>
        <w:spacing w:after="200"/>
        <w:ind w:firstLine="432"/>
        <w:jc w:val="both"/>
      </w:pPr>
      <w:r>
        <w:rPr>
          <w:sz w:val="24"/>
          <w:szCs w:val="24"/>
        </w:rPr>
        <w:t xml:space="preserve">Where surrounding Near Eastern legal codes mandated the return of runaway servants, sometimes under penalty of death for anyone who sheltered them, and where a returned servant was regularly disfigured — hair cut, body marked — to permanently identify him as a former runaway, Moses' law forbids returning a runaway servant at all, and further forbids his oppression once given refuge. This is not a minor variation but a direct and pointed reversal of the surrounding legal consensus.</w:t>
      </w:r>
    </w:p>
    <w:p>
      <w:pPr>
        <w:spacing w:after="200" w:before="360"/>
      </w:pPr>
      <w:r>
        <w:rPr>
          <w:b/>
          <w:bCs/>
          <w:sz w:val="26"/>
          <w:szCs w:val="26"/>
        </w:rPr>
        <w:t xml:space="preserve">Injury to a Servant Freed Him; Killing a Servant Was Murder</w:t>
      </w:r>
    </w:p>
    <w:p>
      <w:pPr>
        <w:spacing w:after="0" w:before="200"/>
      </w:pPr>
      <w:r>
        <w:rPr>
          <w:b/>
          <w:bCs/>
          <w:sz w:val="24"/>
          <w:szCs w:val="24"/>
        </w:rPr>
        <w:t xml:space="preserve">Exodus 21:26-27</w:t>
      </w:r>
    </w:p>
    <w:p>
      <w:pPr>
        <w:spacing w:after="0"/>
        <w:ind w:left="432"/>
      </w:pPr>
      <w:r>
        <w:rPr>
          <w:sz w:val="24"/>
          <w:szCs w:val="24"/>
        </w:rPr>
        <w:t xml:space="preserve">[26]And if a man smite the eye of his servant, or the eye of his maid, that it perish; he shall let him go free for his eye's sake.</w:t>
      </w:r>
    </w:p>
    <w:p>
      <w:pPr>
        <w:spacing w:after="0"/>
        <w:ind w:left="432"/>
      </w:pPr>
      <w:r>
        <w:rPr>
          <w:sz w:val="24"/>
          <w:szCs w:val="24"/>
        </w:rPr>
        <w:t xml:space="preserve">[27]And if he smite out his manservant's tooth, or his maidservant's tooth, he shall let him go free for his tooth's sake.</w:t>
      </w:r>
    </w:p>
    <w:p>
      <w:pPr>
        <w:spacing w:after="0" w:before="200"/>
      </w:pPr>
      <w:r>
        <w:rPr>
          <w:b/>
          <w:bCs/>
          <w:sz w:val="24"/>
          <w:szCs w:val="24"/>
        </w:rPr>
        <w:t xml:space="preserve">Exodus 21:20</w:t>
      </w:r>
    </w:p>
    <w:p>
      <w:pPr>
        <w:spacing w:after="0"/>
        <w:ind w:left="432"/>
      </w:pPr>
      <w:r>
        <w:rPr>
          <w:sz w:val="24"/>
          <w:szCs w:val="24"/>
        </w:rPr>
        <w:t xml:space="preserve">[20]And if a man smite his servant, or his maid, with a rod, and he die under his hand; he shall be surely punished.</w:t>
      </w:r>
    </w:p>
    <w:p>
      <w:pPr>
        <w:spacing w:after="200"/>
        <w:ind w:firstLine="432"/>
        <w:jc w:val="both"/>
      </w:pPr>
      <w:r>
        <w:rPr>
          <w:sz w:val="24"/>
          <w:szCs w:val="24"/>
        </w:rPr>
        <w:t xml:space="preserve">Where the Code of Hammurabi permitted a master merely to cut off a servant's ear in cases of disobedience, and where compensation for a slave's injury in most surrounding codes was paid to the master rather than owed to the injured servant, Moses' law grants the servant himself, not the master, the remedy — outright freedom for the loss of an eye or a tooth — and treats the death of a servant at his master's hand as a punishable offense in its own right, not a mere property loss to be compensated. These are not incidental variations; they represent a deliberate and consistent inversion of the prevailing legal assumption that a servant's body belonged, in the final analysis, to his master rather than to himself.</w:t>
      </w:r>
    </w:p>
    <w:p>
      <w:pPr>
        <w:spacing w:after="200" w:before="360"/>
      </w:pPr>
      <w:r>
        <w:rPr>
          <w:b/>
          <w:bCs/>
          <w:sz w:val="26"/>
          <w:szCs w:val="26"/>
        </w:rPr>
        <w:t xml:space="preserve">Kings Were Not above This Same Law</w:t>
      </w:r>
    </w:p>
    <w:p>
      <w:pPr>
        <w:spacing w:after="0" w:before="200"/>
      </w:pPr>
      <w:r>
        <w:rPr>
          <w:b/>
          <w:bCs/>
          <w:sz w:val="24"/>
          <w:szCs w:val="24"/>
        </w:rPr>
        <w:t xml:space="preserve">2 Chronicles 26:19</w:t>
      </w:r>
    </w:p>
    <w:p>
      <w:pPr>
        <w:spacing w:after="0"/>
        <w:ind w:left="432"/>
      </w:pPr>
      <w:r>
        <w:rPr>
          <w:sz w:val="24"/>
          <w:szCs w:val="24"/>
        </w:rPr>
        <w:t xml:space="preserve">[19]Then Uzziah was wroth, and had a censer in his hand to burn incense... and the leprosy even rose up in his forehead...</w:t>
      </w:r>
    </w:p>
    <w:p>
      <w:pPr>
        <w:spacing w:after="200"/>
        <w:ind w:firstLine="432"/>
        <w:jc w:val="both"/>
      </w:pPr>
      <w:r>
        <w:rPr>
          <w:sz w:val="24"/>
          <w:szCs w:val="24"/>
        </w:rPr>
        <w:t xml:space="preserve">Unlike surrounding nations, where a king's word was treated as the effective voice of deity itself and therefore beyond any legal correction, Israel's own narrative openly records judgment falling on its own kings — Uzziah struck with leprosy for unlawfully usurping priestly function, David rebuked by Nathan, Solomon and Manasseh both condemned for their own idolatry — precisely because the prophetic office, standing alongside king and priest, functioned as an internal check no surrounding Near Eastern monarchy possessed in comparable form. Leviticus 19:15's instruction to judge "not... the person of the poor, nor honour the person of the mighty" reflects this same structural commitment to a law that binds ruler and ruled alike.</w:t>
      </w:r>
    </w:p>
    <w:p>
      <w:pPr>
        <w:spacing w:after="200" w:before="360"/>
      </w:pPr>
      <w:r>
        <w:rPr>
          <w:b/>
          <w:bCs/>
          <w:sz w:val="26"/>
          <w:szCs w:val="26"/>
        </w:rPr>
        <w:t xml:space="preserve">Phineas: Righteousness as Setting a Wrong Right</w:t>
      </w:r>
    </w:p>
    <w:p>
      <w:pPr>
        <w:spacing w:after="0" w:before="200"/>
      </w:pPr>
      <w:r>
        <w:rPr>
          <w:b/>
          <w:bCs/>
          <w:sz w:val="24"/>
          <w:szCs w:val="24"/>
        </w:rPr>
        <w:t xml:space="preserve">Numbers 25:7-8, 11</w:t>
      </w:r>
    </w:p>
    <w:p>
      <w:pPr>
        <w:spacing w:after="0"/>
        <w:ind w:left="432"/>
      </w:pPr>
      <w:r>
        <w:rPr>
          <w:sz w:val="24"/>
          <w:szCs w:val="24"/>
        </w:rPr>
        <w:t xml:space="preserve">[7]...Phinehas... rose up from among the congregation, and took a javelin in his hand;</w:t>
      </w:r>
    </w:p>
    <w:p>
      <w:pPr>
        <w:spacing w:after="0"/>
        <w:ind w:left="432"/>
      </w:pPr>
      <w:r>
        <w:rPr>
          <w:sz w:val="24"/>
          <w:szCs w:val="24"/>
        </w:rPr>
        <w:t xml:space="preserve">[8]And he went after the man of Israel into the tent, and thrust both of them through...: so the plague was stayed from the children of Israel.</w:t>
      </w:r>
    </w:p>
    <w:p>
      <w:pPr>
        <w:spacing w:after="0"/>
        <w:ind w:left="432"/>
      </w:pPr>
      <w:r>
        <w:rPr>
          <w:sz w:val="24"/>
          <w:szCs w:val="24"/>
        </w:rPr>
        <w:t xml:space="preserve">[11]Phinehas... hath turned my wrath away from the children of Israel, while he was zealous for my sake among them, that I consumed not the children of Israel in my jealousy.</w:t>
      </w:r>
    </w:p>
    <w:p>
      <w:pPr>
        <w:spacing w:after="0" w:before="200"/>
      </w:pPr>
      <w:r>
        <w:rPr>
          <w:b/>
          <w:bCs/>
          <w:sz w:val="24"/>
          <w:szCs w:val="24"/>
        </w:rPr>
        <w:t xml:space="preserve">Psalm 106:30-31</w:t>
      </w:r>
    </w:p>
    <w:p>
      <w:pPr>
        <w:spacing w:after="0"/>
        <w:ind w:left="432"/>
      </w:pPr>
      <w:r>
        <w:rPr>
          <w:sz w:val="24"/>
          <w:szCs w:val="24"/>
        </w:rPr>
        <w:t xml:space="preserve">[30]Then stood up Phinehas, and executed judgment: and so the plague was stayed.</w:t>
      </w:r>
    </w:p>
    <w:p>
      <w:pPr>
        <w:spacing w:after="0"/>
        <w:ind w:left="432"/>
      </w:pPr>
      <w:r>
        <w:rPr>
          <w:sz w:val="24"/>
          <w:szCs w:val="24"/>
        </w:rPr>
        <w:t xml:space="preserve">[31]And that was counted unto him for righteousness unto all generations for evermore.</w:t>
      </w:r>
    </w:p>
    <w:p>
      <w:pPr>
        <w:spacing w:after="200"/>
        <w:ind w:firstLine="432"/>
        <w:jc w:val="both"/>
      </w:pPr>
      <w:r>
        <w:rPr>
          <w:sz w:val="24"/>
          <w:szCs w:val="24"/>
        </w:rPr>
        <w:t xml:space="preserve">The same formula applied to Abraham's faith in Genesis 15:6 — "counted... for righteousness" — is applied here to Phineas's decisive action, showing that righteousness, throughout this whole vocabulary, denotes the setting-right of something gone wrong, not merely a private state of forgiveness. God did not personally instigate Phineas's javelin; but the underlying wrong Phineas addressed — open, defiant idolatry threatening the whole camp — was real, and Phineas's zeal to correct it, given the tools available to him in his own world, is credited as righteous action. The New Testament transposes this same zeal into an entirely different register: "the weapons of our warfare are not carnal" (2 Corinthians 10:4) — believers today address the very same category of wrong Phineas addressed, but by spiritual rather than physical means, since Christ is now the fulfillment and the end of the law's own intention.</w:t>
      </w:r>
    </w:p>
    <w:p>
      <w:pPr>
        <w:spacing w:after="200" w:before="360"/>
      </w:pPr>
      <w:r>
        <w:rPr>
          <w:b/>
          <w:bCs/>
          <w:sz w:val="26"/>
          <w:szCs w:val="26"/>
        </w:rPr>
        <w:t xml:space="preserve">Conclusion: Legislating toward an Ideal Not Yet Realized</w:t>
      </w:r>
    </w:p>
    <w:p>
      <w:pPr>
        <w:spacing w:after="200"/>
        <w:ind w:firstLine="432"/>
        <w:jc w:val="both"/>
      </w:pPr>
      <w:r>
        <w:rPr>
          <w:sz w:val="24"/>
          <w:szCs w:val="24"/>
        </w:rPr>
        <w:t xml:space="preserve">The laws of Moses concerning servants, read against their actual Near Eastern legal environment rather than against a modern, anachronistic standard, consistently move toward — never away from — the ideal already established in Genesis: one humanity, made in one image, owed one basic dignity regardless of economic station. Every specific provision examined here — the mandatory seventh-year release, the prohibition on kidnapping, the protection of runaways, the servant's own remedy for injury, the poor's guaranteed provision from the harvest — represents a deliberate, documented improvement on the surrounding legal world, working through the only material available: real human beings, real fallen institutions, and real historical constraint, moving steadily, if incrementally, toward the "no more poor among you" that Deuteronomy 15:4 sets as the law's own explicitly stated goal, and that finds its final fulfillment only in Christ, in whom the law's own intention is at last fully realized.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2026-07-14T07:50:00.154Z</dcterms:created>
  <dcterms:modified xsi:type="dcterms:W3CDTF">2026-07-14T07:50:00.157Z</dcterms:modified>
</cp:coreProperties>
</file>

<file path=docProps/custom.xml><?xml version="1.0" encoding="utf-8"?>
<Properties xmlns="http://schemas.openxmlformats.org/officeDocument/2006/custom-properties" xmlns:vt="http://schemas.openxmlformats.org/officeDocument/2006/docPropsVTypes"/>
</file>