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A2DEB" w14:textId="77777777" w:rsidR="00CE4CB2" w:rsidRPr="00CE4CB2" w:rsidRDefault="00CE4CB2" w:rsidP="009A070E">
      <w:pPr>
        <w:spacing w:before="100" w:beforeAutospacing="1" w:after="100" w:afterAutospacing="1"/>
        <w:jc w:val="center"/>
        <w:outlineLvl w:val="2"/>
        <w:rPr>
          <w:rFonts w:ascii="Times New Roman" w:eastAsia="Times New Roman" w:hAnsi="Times New Roman" w:cs="Times New Roman"/>
          <w:b/>
          <w:bCs/>
          <w:color w:val="000000"/>
          <w:kern w:val="0"/>
          <w:sz w:val="27"/>
          <w:szCs w:val="27"/>
          <w14:ligatures w14:val="none"/>
        </w:rPr>
      </w:pPr>
      <w:r w:rsidRPr="00CE4CB2">
        <w:rPr>
          <w:rFonts w:ascii="Times New Roman" w:eastAsia="Times New Roman" w:hAnsi="Times New Roman" w:cs="Times New Roman"/>
          <w:b/>
          <w:bCs/>
          <w:color w:val="000000"/>
          <w:kern w:val="0"/>
          <w:sz w:val="27"/>
          <w:szCs w:val="27"/>
          <w14:ligatures w14:val="none"/>
        </w:rPr>
        <w:t>Ensuring Resilience at Vergil Assisted Living: A Business Continuity and Disaster Recovery Perspective</w:t>
      </w:r>
    </w:p>
    <w:p w14:paraId="71505E72"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Vergil Assisted Living is a beacon of care and support for senior residents, where operational resilience and preparedness are paramount. The development and implementation of a comprehensive Business Continuity Plan (BCP) and Disaster Recovery Plan (DRP) ensure that the facility can respond swiftly to disruptions, safeguarding both resident well-being and operational integrity. This essay explores the critical elements of these plans, emphasizing their importance, metrics, and actionable recommendations for continuous improvement.</w:t>
      </w:r>
    </w:p>
    <w:p w14:paraId="33441F98" w14:textId="77777777" w:rsidR="00CE4CB2" w:rsidRPr="00CE4CB2" w:rsidRDefault="00CE4CB2" w:rsidP="00CE4CB2">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E4CB2">
        <w:rPr>
          <w:rFonts w:ascii="Times New Roman" w:eastAsia="Times New Roman" w:hAnsi="Times New Roman" w:cs="Times New Roman"/>
          <w:b/>
          <w:bCs/>
          <w:color w:val="000000"/>
          <w:kern w:val="0"/>
          <w14:ligatures w14:val="none"/>
        </w:rPr>
        <w:t>The Role of Surveillance and Security in Resident Safety</w:t>
      </w:r>
    </w:p>
    <w:p w14:paraId="577CDE83"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Security measures form the backbone of operational continuity at Vergil Assisted Living. High-definition CCTV cameras, equipped with night vision and AI-based anomaly detection, provide constant surveillance across living quarters, medical stations, and administrative offices. Real-time monitoring, coupled with redundant data storage, ensures that critical moments are captured and retained for at least 60 days.</w:t>
      </w:r>
    </w:p>
    <w:p w14:paraId="6C712EB0"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Metrics related to security, such as equipment uptime and anomaly detections, reveal the effectiveness of these systems. A proactive approach to maintenance—weekly diagnostics and quarterly software updates—mitigates risks of failure. Addressing minor gaps, such as delayed repairs, enhances the reliability of security infrastructure, contributing to a safer environment for residents.</w:t>
      </w:r>
    </w:p>
    <w:p w14:paraId="4D1913BE" w14:textId="77777777" w:rsidR="00CE4CB2" w:rsidRPr="00CE4CB2" w:rsidRDefault="00CE4CB2" w:rsidP="00CE4CB2">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E4CB2">
        <w:rPr>
          <w:rFonts w:ascii="Times New Roman" w:eastAsia="Times New Roman" w:hAnsi="Times New Roman" w:cs="Times New Roman"/>
          <w:b/>
          <w:bCs/>
          <w:color w:val="000000"/>
          <w:kern w:val="0"/>
          <w14:ligatures w14:val="none"/>
        </w:rPr>
        <w:t>Access Control: Balancing Safety and Accessibility</w:t>
      </w:r>
    </w:p>
    <w:p w14:paraId="561738F6"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The facility employs a multi-layered access control system to regulate entry. General areas are accessible to residents and staff, while restricted zones, including medication storage and server rooms, require biometric verification. Monthly audits of access logs ensure compliance and detect unauthorized attempts.</w:t>
      </w:r>
    </w:p>
    <w:p w14:paraId="53F12682"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Key metrics include the number of access breaches versus successful resolutions. Prompt revocation of access for terminated employees and strict contractor protocols bolster security. The implementation of automated alerts for access anomalies further fortifies this system, ensuring that safety remains uncompromised.</w:t>
      </w:r>
    </w:p>
    <w:p w14:paraId="655F2DB4" w14:textId="77777777" w:rsidR="00CE4CB2" w:rsidRPr="00CE4CB2" w:rsidRDefault="00CE4CB2" w:rsidP="00CE4CB2">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E4CB2">
        <w:rPr>
          <w:rFonts w:ascii="Times New Roman" w:eastAsia="Times New Roman" w:hAnsi="Times New Roman" w:cs="Times New Roman"/>
          <w:b/>
          <w:bCs/>
          <w:color w:val="000000"/>
          <w:kern w:val="0"/>
          <w14:ligatures w14:val="none"/>
        </w:rPr>
        <w:t>Asset Management: Protecting Critical Resources</w:t>
      </w:r>
    </w:p>
    <w:p w14:paraId="0F69427D"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Effective asset tracking is vital for maintaining operational continuity. RFID-enabled systems monitor medical supplies and facility equipment, generating daily reports that highlight discrepancies and monthly summaries for executive review. Metrics such as "assets deployed," "damaged assets," and "resolved issues" provide insights into the system's efficiency.</w:t>
      </w:r>
    </w:p>
    <w:p w14:paraId="54285EB2"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Recommendations include stocking critical spare parts and integrating predictive analytics to preemptively address vulnerabilities. These measures not only enhance the efficiency of asset management but also ensure uninterrupted care for residents.</w:t>
      </w:r>
    </w:p>
    <w:p w14:paraId="2BC5AFBA" w14:textId="77777777" w:rsidR="00CE4CB2" w:rsidRPr="00CE4CB2" w:rsidRDefault="00CE4CB2" w:rsidP="00CE4CB2">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E4CB2">
        <w:rPr>
          <w:rFonts w:ascii="Times New Roman" w:eastAsia="Times New Roman" w:hAnsi="Times New Roman" w:cs="Times New Roman"/>
          <w:b/>
          <w:bCs/>
          <w:color w:val="000000"/>
          <w:kern w:val="0"/>
          <w14:ligatures w14:val="none"/>
        </w:rPr>
        <w:lastRenderedPageBreak/>
        <w:t>Preparedness Through Training and Drills</w:t>
      </w:r>
    </w:p>
    <w:p w14:paraId="59F33CF9"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Regular training and drills are essential for ensuring staff readiness. Security workshops, e-learning modules, and scenario-based exercises enable employees to respond effectively to emergencies. Monthly business continuity and disaster recovery drills test real-world application of these plans.</w:t>
      </w:r>
    </w:p>
    <w:p w14:paraId="63770475"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Metrics such as participation rates and feedback scores from training sessions highlight areas for improvement. Post-drill evaluations provide actionable insights, leading to refined strategies and enhanced staff confidence. Increasing drill frequency during high-risk periods further bolsters preparedness.</w:t>
      </w:r>
    </w:p>
    <w:p w14:paraId="67F2DAD6" w14:textId="77777777" w:rsidR="00CE4CB2" w:rsidRPr="00CE4CB2" w:rsidRDefault="00CE4CB2" w:rsidP="00CE4CB2">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E4CB2">
        <w:rPr>
          <w:rFonts w:ascii="Times New Roman" w:eastAsia="Times New Roman" w:hAnsi="Times New Roman" w:cs="Times New Roman"/>
          <w:b/>
          <w:bCs/>
          <w:color w:val="000000"/>
          <w:kern w:val="0"/>
          <w14:ligatures w14:val="none"/>
        </w:rPr>
        <w:t>Incident Management: Learning from Challenges</w:t>
      </w:r>
    </w:p>
    <w:p w14:paraId="6AC237E1"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Incident response templates and logs play a pivotal role in documenting and resolving disruptions. Whether addressing a CCTV failure or a medical supply shortage, these logs ensure that each incident is tracked, analyzed, and resolved promptly. Metrics such as "time to resolution" and "repeated incidents" drive continuous improvement.</w:t>
      </w:r>
    </w:p>
    <w:p w14:paraId="37E6A168"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Investing in automated incident reporting tools and conducting quarterly reviews of logs enable the facility to identify recurring patterns and implement targeted solutions. Such practices foster a culture of accountability and resilience.</w:t>
      </w:r>
    </w:p>
    <w:p w14:paraId="25CAF77D" w14:textId="77777777" w:rsidR="00CE4CB2" w:rsidRPr="00CE4CB2" w:rsidRDefault="00CE4CB2" w:rsidP="00CE4CB2">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E4CB2">
        <w:rPr>
          <w:rFonts w:ascii="Times New Roman" w:eastAsia="Times New Roman" w:hAnsi="Times New Roman" w:cs="Times New Roman"/>
          <w:b/>
          <w:bCs/>
          <w:color w:val="000000"/>
          <w:kern w:val="0"/>
          <w14:ligatures w14:val="none"/>
        </w:rPr>
        <w:t>A Vision for Continuous Improvement</w:t>
      </w:r>
    </w:p>
    <w:p w14:paraId="76852EAE"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Vergil Assisted Living's BCP and DRP underscore a commitment to excellence in care and operational resilience. By leveraging metrics-driven insights and adopting proactive strategies, the facility ensures uninterrupted services and a safe environment for its residents.</w:t>
      </w:r>
    </w:p>
    <w:p w14:paraId="6E5CB2DB" w14:textId="77777777" w:rsidR="00CE4CB2" w:rsidRPr="00CE4CB2" w:rsidRDefault="00CE4CB2" w:rsidP="00CE4CB2">
      <w:pPr>
        <w:spacing w:before="100" w:beforeAutospacing="1" w:after="100" w:afterAutospacing="1"/>
        <w:rPr>
          <w:rFonts w:ascii="Times New Roman" w:eastAsia="Times New Roman" w:hAnsi="Times New Roman" w:cs="Times New Roman"/>
          <w:color w:val="000000"/>
          <w:kern w:val="0"/>
          <w14:ligatures w14:val="none"/>
        </w:rPr>
      </w:pPr>
      <w:r w:rsidRPr="00CE4CB2">
        <w:rPr>
          <w:rFonts w:ascii="Times New Roman" w:eastAsia="Times New Roman" w:hAnsi="Times New Roman" w:cs="Times New Roman"/>
          <w:color w:val="000000"/>
          <w:kern w:val="0"/>
          <w14:ligatures w14:val="none"/>
        </w:rPr>
        <w:t>The ongoing refinement of these plans—from enhancing security measures to optimizing training programs—reflects a dedication to continuous improvement. As Vergil Assisted Living evolves, so too will its ability to adapt to challenges, embodying the essence of resilience and care.</w:t>
      </w:r>
    </w:p>
    <w:p w14:paraId="40A9038F" w14:textId="77777777" w:rsidR="00CE4CB2" w:rsidRDefault="00CE4CB2" w:rsidP="00CE4CB2">
      <w:pPr>
        <w:spacing w:after="725" w:line="259" w:lineRule="auto"/>
        <w:ind w:left="1131"/>
        <w:rPr>
          <w:rFonts w:ascii="Arial" w:eastAsia="Arial" w:hAnsi="Arial" w:cs="Arial"/>
          <w:b/>
          <w:sz w:val="32"/>
        </w:rPr>
      </w:pPr>
    </w:p>
    <w:p w14:paraId="53757B30" w14:textId="77777777" w:rsidR="00CE4CB2" w:rsidRDefault="00CE4CB2" w:rsidP="00CE4CB2">
      <w:pPr>
        <w:spacing w:after="725" w:line="259" w:lineRule="auto"/>
        <w:ind w:left="1131"/>
        <w:rPr>
          <w:rFonts w:ascii="Arial" w:eastAsia="Arial" w:hAnsi="Arial" w:cs="Arial"/>
          <w:b/>
          <w:sz w:val="32"/>
        </w:rPr>
      </w:pPr>
    </w:p>
    <w:p w14:paraId="0AFB28D1" w14:textId="77777777" w:rsidR="00CE4CB2" w:rsidRDefault="00CE4CB2" w:rsidP="00CE4CB2">
      <w:pPr>
        <w:spacing w:after="725" w:line="259" w:lineRule="auto"/>
        <w:ind w:left="1131"/>
        <w:rPr>
          <w:rFonts w:ascii="Arial" w:eastAsia="Arial" w:hAnsi="Arial" w:cs="Arial"/>
          <w:b/>
          <w:sz w:val="32"/>
        </w:rPr>
      </w:pPr>
    </w:p>
    <w:p w14:paraId="15557071" w14:textId="5CBAF2A2" w:rsidR="00CE4CB2" w:rsidRDefault="00CE4CB2" w:rsidP="00CE4CB2">
      <w:pPr>
        <w:spacing w:after="725" w:line="259" w:lineRule="auto"/>
        <w:ind w:left="1131"/>
      </w:pPr>
      <w:r>
        <w:rPr>
          <w:rFonts w:ascii="Arial" w:eastAsia="Arial" w:hAnsi="Arial" w:cs="Arial"/>
          <w:b/>
          <w:sz w:val="32"/>
        </w:rPr>
        <w:lastRenderedPageBreak/>
        <w:t>Business Continuity and Disaster Recovery Metrics Report</w:t>
      </w:r>
    </w:p>
    <w:p w14:paraId="09C75A19" w14:textId="77777777" w:rsidR="00CE4CB2" w:rsidRDefault="00CE4CB2" w:rsidP="00CE4CB2">
      <w:pPr>
        <w:pStyle w:val="Heading1"/>
        <w:ind w:left="296" w:hanging="311"/>
      </w:pPr>
      <w:r>
        <w:t>System Backups Performed Over Time</w:t>
      </w:r>
    </w:p>
    <w:p w14:paraId="3FD83528" w14:textId="77777777" w:rsidR="00CE4CB2" w:rsidRDefault="00CE4CB2" w:rsidP="00CE4CB2">
      <w:pPr>
        <w:ind w:left="-5" w:right="-15"/>
      </w:pPr>
      <w:r>
        <w:t>This metric tracks the number of backups successfully performed each month. Regular backups ensure data integrity, disaster recovery capability, and compliance with regulations. Minor dips in February and April suggest areas to review for process optimization. Recommendations include automating scheduling and conducting periodic restore tests to validate backups.</w:t>
      </w:r>
    </w:p>
    <w:p w14:paraId="044652B1" w14:textId="77777777" w:rsidR="00CE4CB2" w:rsidRDefault="00CE4CB2" w:rsidP="00CE4CB2">
      <w:pPr>
        <w:ind w:left="-5" w:right="-15"/>
      </w:pPr>
    </w:p>
    <w:p w14:paraId="647C06F9" w14:textId="77777777" w:rsidR="00CE4CB2" w:rsidRDefault="00CE4CB2" w:rsidP="00CE4CB2">
      <w:pPr>
        <w:spacing w:after="733" w:line="259" w:lineRule="auto"/>
        <w:ind w:left="510"/>
      </w:pPr>
      <w:r>
        <w:rPr>
          <w:noProof/>
        </w:rPr>
        <w:drawing>
          <wp:inline distT="0" distB="0" distL="0" distR="0" wp14:anchorId="1336EB09" wp14:editId="24410EA2">
            <wp:extent cx="6120003" cy="3671951"/>
            <wp:effectExtent l="0" t="0" r="0" b="0"/>
            <wp:docPr id="13" name="Picture 13" descr="A line graph with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A line graph with blue lines&#10;&#10;Description automatically generated"/>
                    <pic:cNvPicPr/>
                  </pic:nvPicPr>
                  <pic:blipFill>
                    <a:blip r:embed="rId7"/>
                    <a:stretch>
                      <a:fillRect/>
                    </a:stretch>
                  </pic:blipFill>
                  <pic:spPr>
                    <a:xfrm>
                      <a:off x="0" y="0"/>
                      <a:ext cx="6120003" cy="3671951"/>
                    </a:xfrm>
                    <a:prstGeom prst="rect">
                      <a:avLst/>
                    </a:prstGeom>
                  </pic:spPr>
                </pic:pic>
              </a:graphicData>
            </a:graphic>
          </wp:inline>
        </w:drawing>
      </w:r>
    </w:p>
    <w:p w14:paraId="5F529895" w14:textId="77777777" w:rsidR="000C317A" w:rsidRDefault="000C317A" w:rsidP="00CE4CB2">
      <w:pPr>
        <w:pStyle w:val="Heading1"/>
        <w:ind w:left="296" w:hanging="311"/>
      </w:pPr>
    </w:p>
    <w:p w14:paraId="6D3F4428" w14:textId="77777777" w:rsidR="000C317A" w:rsidRDefault="000C317A" w:rsidP="000C317A"/>
    <w:p w14:paraId="765F592F" w14:textId="77777777" w:rsidR="000C317A" w:rsidRPr="000C317A" w:rsidRDefault="000C317A" w:rsidP="000C317A"/>
    <w:p w14:paraId="052472F9" w14:textId="3A68BE20" w:rsidR="00CE4CB2" w:rsidRDefault="00CE4CB2" w:rsidP="00CE4CB2">
      <w:pPr>
        <w:pStyle w:val="Heading1"/>
        <w:ind w:left="296" w:hanging="311"/>
      </w:pPr>
      <w:r>
        <w:lastRenderedPageBreak/>
        <w:t>Equipment Failures vs. Resolved Failures</w:t>
      </w:r>
    </w:p>
    <w:p w14:paraId="625B7F3D" w14:textId="77777777" w:rsidR="00CE4CB2" w:rsidRDefault="00CE4CB2" w:rsidP="00CE4CB2">
      <w:pPr>
        <w:ind w:left="-5" w:right="-15"/>
      </w:pPr>
      <w:r>
        <w:t>This chart compares the number of equipment failures with resolved issues. Prompt resolutions reflect strong maintenance practices. The slight lag in April indicates a need for increased technician availability or stock of spare parts. Recommendations include proactive maintenance and improving response times during peak periods.</w:t>
      </w:r>
    </w:p>
    <w:p w14:paraId="5054DEE8" w14:textId="77777777" w:rsidR="000C317A" w:rsidRDefault="000C317A" w:rsidP="00CE4CB2">
      <w:pPr>
        <w:ind w:left="-5" w:right="-15"/>
      </w:pPr>
    </w:p>
    <w:p w14:paraId="6B2D3D9F" w14:textId="77777777" w:rsidR="00CE4CB2" w:rsidRDefault="00CE4CB2" w:rsidP="00CE4CB2">
      <w:pPr>
        <w:spacing w:after="733" w:line="259" w:lineRule="auto"/>
        <w:ind w:left="-57"/>
      </w:pPr>
      <w:r>
        <w:rPr>
          <w:noProof/>
        </w:rPr>
        <w:drawing>
          <wp:inline distT="0" distB="0" distL="0" distR="0" wp14:anchorId="7BBA8F47" wp14:editId="6EDB27EE">
            <wp:extent cx="6120003" cy="3671951"/>
            <wp:effectExtent l="0" t="0" r="0" b="0"/>
            <wp:docPr id="26" name="Picture 26" descr="A graph showing a number of injuri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6" name="Picture 26" descr="A graph showing a number of injuries&#10;&#10;Description automatically generated with medium confidence"/>
                    <pic:cNvPicPr/>
                  </pic:nvPicPr>
                  <pic:blipFill>
                    <a:blip r:embed="rId8"/>
                    <a:stretch>
                      <a:fillRect/>
                    </a:stretch>
                  </pic:blipFill>
                  <pic:spPr>
                    <a:xfrm>
                      <a:off x="0" y="0"/>
                      <a:ext cx="6120003" cy="3671951"/>
                    </a:xfrm>
                    <a:prstGeom prst="rect">
                      <a:avLst/>
                    </a:prstGeom>
                  </pic:spPr>
                </pic:pic>
              </a:graphicData>
            </a:graphic>
          </wp:inline>
        </w:drawing>
      </w:r>
    </w:p>
    <w:p w14:paraId="2784F61D" w14:textId="77777777" w:rsidR="000C317A" w:rsidRDefault="000C317A" w:rsidP="00CE4CB2">
      <w:pPr>
        <w:pStyle w:val="Heading1"/>
        <w:ind w:left="296" w:hanging="311"/>
      </w:pPr>
    </w:p>
    <w:p w14:paraId="360F03F9" w14:textId="77777777" w:rsidR="000C317A" w:rsidRDefault="000C317A" w:rsidP="00CE4CB2">
      <w:pPr>
        <w:pStyle w:val="Heading1"/>
        <w:ind w:left="296" w:hanging="311"/>
      </w:pPr>
    </w:p>
    <w:p w14:paraId="716E2744" w14:textId="77777777" w:rsidR="000C317A" w:rsidRDefault="000C317A" w:rsidP="000C317A">
      <w:pPr>
        <w:pStyle w:val="Heading1"/>
      </w:pPr>
    </w:p>
    <w:p w14:paraId="745A26AD" w14:textId="77777777" w:rsidR="000C317A" w:rsidRDefault="000C317A" w:rsidP="000C317A"/>
    <w:p w14:paraId="004569C6" w14:textId="77777777" w:rsidR="000C317A" w:rsidRDefault="000C317A" w:rsidP="000C317A"/>
    <w:p w14:paraId="0D29D7C8" w14:textId="77777777" w:rsidR="000C317A" w:rsidRPr="000C317A" w:rsidRDefault="000C317A" w:rsidP="000C317A"/>
    <w:p w14:paraId="41A1DD45" w14:textId="072A00D2" w:rsidR="00CE4CB2" w:rsidRDefault="00CE4CB2" w:rsidP="000C317A">
      <w:pPr>
        <w:pStyle w:val="Heading1"/>
      </w:pPr>
      <w:r>
        <w:lastRenderedPageBreak/>
        <w:t>BCP and DRP Drills Conducted Over Time</w:t>
      </w:r>
    </w:p>
    <w:p w14:paraId="79B2781B" w14:textId="77777777" w:rsidR="00CE4CB2" w:rsidRDefault="00CE4CB2" w:rsidP="00CE4CB2">
      <w:pPr>
        <w:ind w:left="-5" w:right="-15"/>
      </w:pPr>
      <w:r>
        <w:t>This metric tracks the number of continuity and recovery drills conducted each month. Consistent drills help identify gaps in preparedness and improve response efficiency. Peaks in February and May reflect seasonal focus, and recommendations include maintaining regularity and engaging all teams in these exercises.</w:t>
      </w:r>
    </w:p>
    <w:p w14:paraId="6C45894E" w14:textId="77777777" w:rsidR="000C317A" w:rsidRDefault="000C317A" w:rsidP="00CE4CB2">
      <w:pPr>
        <w:ind w:left="-5" w:right="-15"/>
      </w:pPr>
    </w:p>
    <w:p w14:paraId="4EB68E0E" w14:textId="77777777" w:rsidR="00CE4CB2" w:rsidRDefault="00CE4CB2" w:rsidP="00CE4CB2">
      <w:pPr>
        <w:spacing w:line="259" w:lineRule="auto"/>
        <w:ind w:left="510"/>
      </w:pPr>
      <w:r>
        <w:rPr>
          <w:noProof/>
        </w:rPr>
        <w:drawing>
          <wp:inline distT="0" distB="0" distL="0" distR="0" wp14:anchorId="09026FA0" wp14:editId="6897BAF3">
            <wp:extent cx="6120003" cy="3671951"/>
            <wp:effectExtent l="0" t="0" r="0" b="0"/>
            <wp:docPr id="33" name="Picture 33" descr="A graph of blue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Picture 33" descr="A graph of blue bars&#10;&#10;Description automatically generated with medium confidence"/>
                    <pic:cNvPicPr/>
                  </pic:nvPicPr>
                  <pic:blipFill>
                    <a:blip r:embed="rId9"/>
                    <a:stretch>
                      <a:fillRect/>
                    </a:stretch>
                  </pic:blipFill>
                  <pic:spPr>
                    <a:xfrm>
                      <a:off x="0" y="0"/>
                      <a:ext cx="6120003" cy="3671951"/>
                    </a:xfrm>
                    <a:prstGeom prst="rect">
                      <a:avLst/>
                    </a:prstGeom>
                  </pic:spPr>
                </pic:pic>
              </a:graphicData>
            </a:graphic>
          </wp:inline>
        </w:drawing>
      </w:r>
    </w:p>
    <w:p w14:paraId="2821A1B9" w14:textId="77777777" w:rsidR="000C317A" w:rsidRDefault="000C317A" w:rsidP="00CE4CB2">
      <w:pPr>
        <w:pStyle w:val="Heading1"/>
        <w:ind w:left="296" w:hanging="311"/>
      </w:pPr>
    </w:p>
    <w:p w14:paraId="7307F7DB" w14:textId="77777777" w:rsidR="000C317A" w:rsidRDefault="000C317A" w:rsidP="00CE4CB2">
      <w:pPr>
        <w:pStyle w:val="Heading1"/>
        <w:ind w:left="296" w:hanging="311"/>
      </w:pPr>
    </w:p>
    <w:p w14:paraId="1C1F4DAE" w14:textId="77777777" w:rsidR="000C317A" w:rsidRDefault="000C317A" w:rsidP="000C317A">
      <w:pPr>
        <w:pStyle w:val="Heading1"/>
      </w:pPr>
    </w:p>
    <w:p w14:paraId="710AE96A" w14:textId="77777777" w:rsidR="000C317A" w:rsidRDefault="000C317A" w:rsidP="00CE4CB2">
      <w:pPr>
        <w:pStyle w:val="Heading1"/>
        <w:ind w:left="296" w:hanging="311"/>
      </w:pPr>
    </w:p>
    <w:p w14:paraId="641D1A85" w14:textId="77777777" w:rsidR="000C317A" w:rsidRPr="000C317A" w:rsidRDefault="000C317A" w:rsidP="000C317A"/>
    <w:p w14:paraId="4C749EA7" w14:textId="1947C2DA" w:rsidR="00CE4CB2" w:rsidRDefault="00CE4CB2" w:rsidP="00CE4CB2">
      <w:pPr>
        <w:pStyle w:val="Heading1"/>
        <w:ind w:left="296" w:hanging="311"/>
      </w:pPr>
      <w:r>
        <w:lastRenderedPageBreak/>
        <w:t>Medical Incidents Reported vs. Resolved</w:t>
      </w:r>
    </w:p>
    <w:p w14:paraId="30F75844" w14:textId="77777777" w:rsidR="00CE4CB2" w:rsidRDefault="00CE4CB2" w:rsidP="00CE4CB2">
      <w:pPr>
        <w:ind w:left="-5" w:right="-15"/>
      </w:pPr>
      <w:r>
        <w:t>This chart tracks the effectiveness of medical incident management. High resolution rates demonstrate effective care, while declining incident numbers suggest improved preventive measures. Recommendations include enhancing health screenings and monitoring trends to target recurring issues.</w:t>
      </w:r>
    </w:p>
    <w:p w14:paraId="1C01FC40" w14:textId="77777777" w:rsidR="00CE4CB2" w:rsidRDefault="00CE4CB2" w:rsidP="00CE4CB2">
      <w:pPr>
        <w:spacing w:line="259" w:lineRule="auto"/>
        <w:ind w:left="510"/>
      </w:pPr>
      <w:r>
        <w:rPr>
          <w:noProof/>
        </w:rPr>
        <w:drawing>
          <wp:inline distT="0" distB="0" distL="0" distR="0" wp14:anchorId="1A84F429" wp14:editId="1FEBEA80">
            <wp:extent cx="6120003" cy="3671951"/>
            <wp:effectExtent l="0" t="0" r="0" b="0"/>
            <wp:docPr id="44" name="Picture 44" descr="A graph showing the number of patients reporte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4" name="Picture 44" descr="A graph showing the number of patients reported&#10;&#10;Description automatically generated with medium confidence"/>
                    <pic:cNvPicPr/>
                  </pic:nvPicPr>
                  <pic:blipFill>
                    <a:blip r:embed="rId10"/>
                    <a:stretch>
                      <a:fillRect/>
                    </a:stretch>
                  </pic:blipFill>
                  <pic:spPr>
                    <a:xfrm>
                      <a:off x="0" y="0"/>
                      <a:ext cx="6120003" cy="3671951"/>
                    </a:xfrm>
                    <a:prstGeom prst="rect">
                      <a:avLst/>
                    </a:prstGeom>
                  </pic:spPr>
                </pic:pic>
              </a:graphicData>
            </a:graphic>
          </wp:inline>
        </w:drawing>
      </w:r>
    </w:p>
    <w:p w14:paraId="779C3A1D" w14:textId="77777777" w:rsidR="00022E82" w:rsidRDefault="00022E82"/>
    <w:p w14:paraId="35606D54" w14:textId="77777777" w:rsidR="009A070E" w:rsidRDefault="009A070E"/>
    <w:p w14:paraId="2221A808" w14:textId="77777777" w:rsidR="009A070E" w:rsidRDefault="009A070E"/>
    <w:p w14:paraId="7F5059C9" w14:textId="77777777" w:rsidR="009A070E" w:rsidRDefault="009A070E"/>
    <w:p w14:paraId="0C3EF00F" w14:textId="77777777" w:rsidR="009A070E" w:rsidRDefault="009A070E"/>
    <w:p w14:paraId="4E6C3584" w14:textId="77777777" w:rsidR="009A070E" w:rsidRDefault="009A070E"/>
    <w:p w14:paraId="500DAB64" w14:textId="77777777" w:rsidR="009A070E" w:rsidRDefault="009A070E"/>
    <w:p w14:paraId="1CEB646D" w14:textId="77777777" w:rsidR="009A070E" w:rsidRDefault="009A070E"/>
    <w:p w14:paraId="5E244D3C" w14:textId="77777777" w:rsidR="009A070E" w:rsidRDefault="009A070E"/>
    <w:p w14:paraId="5E823EE8" w14:textId="77777777" w:rsidR="009A070E" w:rsidRDefault="009A070E"/>
    <w:p w14:paraId="2BA0E203" w14:textId="77777777" w:rsidR="009A070E" w:rsidRDefault="009A070E"/>
    <w:p w14:paraId="0C08C633" w14:textId="77777777" w:rsidR="009A070E" w:rsidRDefault="009A070E"/>
    <w:p w14:paraId="1F4A3240" w14:textId="77777777" w:rsidR="009A070E" w:rsidRDefault="009A070E"/>
    <w:p w14:paraId="6A9650A4" w14:textId="77777777" w:rsidR="009A070E" w:rsidRDefault="009A070E"/>
    <w:p w14:paraId="625C5C7C" w14:textId="77777777" w:rsidR="009A070E" w:rsidRDefault="009A070E"/>
    <w:p w14:paraId="3182E3ED" w14:textId="77777777" w:rsidR="009A070E" w:rsidRDefault="009A070E"/>
    <w:p w14:paraId="076792D0" w14:textId="77777777" w:rsidR="009A070E" w:rsidRDefault="009A070E"/>
    <w:p w14:paraId="31CC7AF6" w14:textId="77777777" w:rsidR="009A070E" w:rsidRDefault="009A070E"/>
    <w:p w14:paraId="4CB54BB2" w14:textId="77777777" w:rsidR="009A070E" w:rsidRPr="009A070E" w:rsidRDefault="009A070E" w:rsidP="009A070E">
      <w:pPr>
        <w:rPr>
          <w:b/>
          <w:bCs/>
        </w:rPr>
      </w:pPr>
      <w:r w:rsidRPr="009A070E">
        <w:rPr>
          <w:b/>
          <w:bCs/>
        </w:rPr>
        <w:lastRenderedPageBreak/>
        <w:t>References</w:t>
      </w:r>
    </w:p>
    <w:p w14:paraId="6225DA08" w14:textId="3FEBDB6C" w:rsidR="009A070E" w:rsidRDefault="009A070E" w:rsidP="009A070E">
      <w:pPr>
        <w:numPr>
          <w:ilvl w:val="0"/>
          <w:numId w:val="1"/>
        </w:numPr>
      </w:pPr>
      <w:r w:rsidRPr="009A070E">
        <w:rPr>
          <w:b/>
          <w:bCs/>
        </w:rPr>
        <w:t>ISO 22301:2019</w:t>
      </w:r>
      <w:r w:rsidRPr="009A070E">
        <w:t> - Business Continuity Management Systems – Requirements. International Organization for Standardization.</w:t>
      </w:r>
      <w:r w:rsidRPr="009A070E">
        <w:br/>
        <w:t>Available at: </w:t>
      </w:r>
      <w:hyperlink r:id="rId11" w:history="1">
        <w:r w:rsidRPr="009A070E">
          <w:rPr>
            <w:rStyle w:val="Hyperlink"/>
          </w:rPr>
          <w:t>https://www.iso.org/standard/75106.html</w:t>
        </w:r>
      </w:hyperlink>
    </w:p>
    <w:p w14:paraId="20B9CC45" w14:textId="77777777" w:rsidR="009A070E" w:rsidRPr="009A070E" w:rsidRDefault="009A070E" w:rsidP="009A070E">
      <w:pPr>
        <w:ind w:left="360"/>
      </w:pPr>
    </w:p>
    <w:p w14:paraId="612A5419" w14:textId="77777777" w:rsidR="009A070E" w:rsidRDefault="009A070E" w:rsidP="009A070E">
      <w:pPr>
        <w:numPr>
          <w:ilvl w:val="0"/>
          <w:numId w:val="1"/>
        </w:numPr>
      </w:pPr>
      <w:r w:rsidRPr="009A070E">
        <w:t>National Institute of Standards and Technology (NIST). (2020). </w:t>
      </w:r>
      <w:r w:rsidRPr="009A070E">
        <w:rPr>
          <w:b/>
          <w:bCs/>
        </w:rPr>
        <w:t>Contingency Planning Guide for Federal Information Systems (SP 800-34 Rev. 1)</w:t>
      </w:r>
      <w:r w:rsidRPr="009A070E">
        <w:t>.</w:t>
      </w:r>
      <w:r w:rsidRPr="009A070E">
        <w:br/>
        <w:t>Available at: </w:t>
      </w:r>
      <w:hyperlink r:id="rId12" w:tgtFrame="_new" w:history="1">
        <w:r w:rsidRPr="009A070E">
          <w:rPr>
            <w:rStyle w:val="Hyperlink"/>
          </w:rPr>
          <w:t>https://csrc.nist.gov/publications/detail/sp/800-34/rev-1/final</w:t>
        </w:r>
      </w:hyperlink>
    </w:p>
    <w:p w14:paraId="4F4D5EA6" w14:textId="77777777" w:rsidR="009A070E" w:rsidRDefault="009A070E" w:rsidP="009A070E">
      <w:pPr>
        <w:pStyle w:val="ListParagraph"/>
      </w:pPr>
    </w:p>
    <w:p w14:paraId="1261DC4E" w14:textId="77777777" w:rsidR="009A070E" w:rsidRPr="009A070E" w:rsidRDefault="009A070E" w:rsidP="009A070E">
      <w:pPr>
        <w:ind w:left="720"/>
      </w:pPr>
    </w:p>
    <w:p w14:paraId="2FE93234" w14:textId="1B993DF6" w:rsidR="009A070E" w:rsidRDefault="009A070E" w:rsidP="009A070E">
      <w:pPr>
        <w:numPr>
          <w:ilvl w:val="0"/>
          <w:numId w:val="1"/>
        </w:numPr>
      </w:pPr>
      <w:r w:rsidRPr="009A070E">
        <w:t>Federal Emergency Management Agency (FEMA). (2022). </w:t>
      </w:r>
      <w:r w:rsidRPr="009A070E">
        <w:rPr>
          <w:b/>
          <w:bCs/>
        </w:rPr>
        <w:t>Emergency Response Plan Guidelines</w:t>
      </w:r>
      <w:r w:rsidRPr="009A070E">
        <w:t>.</w:t>
      </w:r>
      <w:r w:rsidRPr="009A070E">
        <w:br/>
        <w:t>Available at: </w:t>
      </w:r>
      <w:hyperlink r:id="rId13" w:history="1">
        <w:r w:rsidRPr="009A070E">
          <w:rPr>
            <w:rStyle w:val="Hyperlink"/>
          </w:rPr>
          <w:t>https://www.fema.gov/emergency-managers/national-preparedness/plan</w:t>
        </w:r>
      </w:hyperlink>
    </w:p>
    <w:p w14:paraId="24557225" w14:textId="77777777" w:rsidR="009A070E" w:rsidRPr="009A070E" w:rsidRDefault="009A070E" w:rsidP="009A070E">
      <w:pPr>
        <w:numPr>
          <w:ilvl w:val="0"/>
          <w:numId w:val="1"/>
        </w:numPr>
      </w:pPr>
    </w:p>
    <w:p w14:paraId="2037B6AE" w14:textId="45FB1BB7" w:rsidR="009A070E" w:rsidRPr="009A070E" w:rsidRDefault="009A070E" w:rsidP="009A070E">
      <w:pPr>
        <w:numPr>
          <w:ilvl w:val="0"/>
          <w:numId w:val="1"/>
        </w:numPr>
      </w:pPr>
      <w:r w:rsidRPr="009A070E">
        <w:t>Brown, S., &amp; Smith, T. (2021). </w:t>
      </w:r>
      <w:r w:rsidRPr="009A070E">
        <w:rPr>
          <w:b/>
          <w:bCs/>
        </w:rPr>
        <w:t>Enhancing Security and Surveillance in Assisted Living Facilities: A Case Study. Journal of Elder Care Management, 15(3), 45-58.</w:t>
      </w:r>
    </w:p>
    <w:p w14:paraId="333BECF3" w14:textId="77777777" w:rsidR="009A070E" w:rsidRPr="009A070E" w:rsidRDefault="009A070E" w:rsidP="009A070E">
      <w:pPr>
        <w:ind w:left="720"/>
      </w:pPr>
    </w:p>
    <w:p w14:paraId="1467F71F" w14:textId="77777777" w:rsidR="009A070E" w:rsidRDefault="009A070E" w:rsidP="009A070E">
      <w:pPr>
        <w:numPr>
          <w:ilvl w:val="0"/>
          <w:numId w:val="1"/>
        </w:numPr>
      </w:pPr>
      <w:r w:rsidRPr="009A070E">
        <w:t>Microsoft Azure. (2023). </w:t>
      </w:r>
      <w:r w:rsidRPr="009A070E">
        <w:rPr>
          <w:b/>
          <w:bCs/>
        </w:rPr>
        <w:t>Best Practices for Backup and Disaster Recovery in Cloud Computing</w:t>
      </w:r>
      <w:r w:rsidRPr="009A070E">
        <w:t>.</w:t>
      </w:r>
      <w:r w:rsidRPr="009A070E">
        <w:br/>
        <w:t>Available at: </w:t>
      </w:r>
      <w:hyperlink r:id="rId14" w:tgtFrame="_new" w:history="1">
        <w:r w:rsidRPr="009A070E">
          <w:rPr>
            <w:rStyle w:val="Hyperlink"/>
          </w:rPr>
          <w:t>https://learn.m</w:t>
        </w:r>
        <w:r w:rsidRPr="009A070E">
          <w:rPr>
            <w:rStyle w:val="Hyperlink"/>
          </w:rPr>
          <w:t>i</w:t>
        </w:r>
        <w:r w:rsidRPr="009A070E">
          <w:rPr>
            <w:rStyle w:val="Hyperlink"/>
          </w:rPr>
          <w:t>crosoft.com/en-us/azure/backup/backup-overview</w:t>
        </w:r>
      </w:hyperlink>
    </w:p>
    <w:p w14:paraId="12A122DE" w14:textId="77777777" w:rsidR="009A070E" w:rsidRDefault="009A070E" w:rsidP="009A070E">
      <w:pPr>
        <w:pStyle w:val="ListParagraph"/>
      </w:pPr>
    </w:p>
    <w:p w14:paraId="574BD116" w14:textId="77777777" w:rsidR="009A070E" w:rsidRPr="009A070E" w:rsidRDefault="009A070E" w:rsidP="009A070E">
      <w:pPr>
        <w:ind w:left="720"/>
      </w:pPr>
    </w:p>
    <w:p w14:paraId="7F82FA03" w14:textId="77777777" w:rsidR="009A070E" w:rsidRPr="009A070E" w:rsidRDefault="009A070E" w:rsidP="009A070E">
      <w:pPr>
        <w:numPr>
          <w:ilvl w:val="0"/>
          <w:numId w:val="1"/>
        </w:numPr>
        <w:rPr>
          <w:rFonts w:ascii="Times New Roman" w:eastAsia="Times New Roman" w:hAnsi="Times New Roman" w:cs="Times New Roman"/>
          <w:color w:val="000000"/>
          <w:kern w:val="0"/>
          <w14:ligatures w14:val="none"/>
        </w:rPr>
      </w:pPr>
      <w:r w:rsidRPr="009A070E">
        <w:t>O’Brien, J. (2020). </w:t>
      </w:r>
      <w:r w:rsidRPr="009A070E">
        <w:rPr>
          <w:b/>
          <w:bCs/>
        </w:rPr>
        <w:t>Incident Management and Response: A Comprehensive Guide</w:t>
      </w:r>
      <w:r w:rsidRPr="009A070E">
        <w:t>. Wiley Press.</w:t>
      </w:r>
    </w:p>
    <w:p w14:paraId="45EE9680" w14:textId="77777777" w:rsidR="009A070E" w:rsidRPr="009A070E" w:rsidRDefault="009A070E" w:rsidP="009A070E">
      <w:pPr>
        <w:ind w:left="720"/>
        <w:rPr>
          <w:rFonts w:ascii="Times New Roman" w:eastAsia="Times New Roman" w:hAnsi="Times New Roman" w:cs="Times New Roman"/>
          <w:color w:val="000000"/>
          <w:kern w:val="0"/>
          <w14:ligatures w14:val="none"/>
        </w:rPr>
      </w:pPr>
    </w:p>
    <w:p w14:paraId="3C64E99A" w14:textId="7DEE942C" w:rsidR="009A070E" w:rsidRPr="009A070E" w:rsidRDefault="009A070E" w:rsidP="009A070E">
      <w:pPr>
        <w:numPr>
          <w:ilvl w:val="0"/>
          <w:numId w:val="1"/>
        </w:numPr>
        <w:rPr>
          <w:rFonts w:ascii="Times New Roman" w:eastAsia="Times New Roman" w:hAnsi="Times New Roman" w:cs="Times New Roman"/>
          <w:color w:val="000000"/>
          <w:kern w:val="0"/>
          <w14:ligatures w14:val="none"/>
        </w:rPr>
      </w:pPr>
      <w:r>
        <w:rPr>
          <w:rStyle w:val="Strong"/>
          <w:color w:val="000000"/>
        </w:rPr>
        <w:t>Texas Health and Human Services (HHS). (2022). Assisted Living Facilities (ALF).</w:t>
      </w:r>
      <w:r>
        <w:rPr>
          <w:color w:val="000000"/>
        </w:rPr>
        <w:br/>
      </w:r>
      <w:r>
        <w:rPr>
          <w:rFonts w:ascii="-webkit-standard" w:hAnsi="-webkit-standard"/>
          <w:color w:val="000000"/>
          <w:sz w:val="27"/>
          <w:szCs w:val="27"/>
        </w:rPr>
        <w:t>Available at:</w:t>
      </w:r>
      <w:r>
        <w:rPr>
          <w:rStyle w:val="apple-converted-space"/>
          <w:rFonts w:ascii="-webkit-standard" w:hAnsi="-webkit-standard"/>
          <w:color w:val="000000"/>
          <w:sz w:val="27"/>
          <w:szCs w:val="27"/>
        </w:rPr>
        <w:t> </w:t>
      </w:r>
      <w:hyperlink r:id="rId15" w:tgtFrame="_new" w:history="1">
        <w:r>
          <w:rPr>
            <w:rStyle w:val="Hyperlink"/>
          </w:rPr>
          <w:t>https://www.hhs.texas.gov/providers/long-term-care-</w:t>
        </w:r>
        <w:r>
          <w:rPr>
            <w:rStyle w:val="Hyperlink"/>
          </w:rPr>
          <w:t>p</w:t>
        </w:r>
        <w:r>
          <w:rPr>
            <w:rStyle w:val="Hyperlink"/>
          </w:rPr>
          <w:t>roviders/assisted-living-facilities-alf</w:t>
        </w:r>
      </w:hyperlink>
    </w:p>
    <w:p w14:paraId="3D56F9CD" w14:textId="77777777" w:rsidR="009A070E" w:rsidRPr="009A070E" w:rsidRDefault="009A070E" w:rsidP="009A070E">
      <w:pPr>
        <w:ind w:left="720"/>
      </w:pPr>
    </w:p>
    <w:p w14:paraId="7217517E" w14:textId="77777777" w:rsidR="009A070E" w:rsidRDefault="009A070E"/>
    <w:sectPr w:rsidR="009A070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4627E" w14:textId="77777777" w:rsidR="00BA40E3" w:rsidRDefault="00BA40E3" w:rsidP="000C317A">
      <w:r>
        <w:separator/>
      </w:r>
    </w:p>
  </w:endnote>
  <w:endnote w:type="continuationSeparator" w:id="0">
    <w:p w14:paraId="70154321" w14:textId="77777777" w:rsidR="00BA40E3" w:rsidRDefault="00BA40E3" w:rsidP="000C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10104" w14:textId="77777777" w:rsidR="00BA40E3" w:rsidRDefault="00BA40E3" w:rsidP="000C317A">
      <w:r>
        <w:separator/>
      </w:r>
    </w:p>
  </w:footnote>
  <w:footnote w:type="continuationSeparator" w:id="0">
    <w:p w14:paraId="55B3E9B6" w14:textId="77777777" w:rsidR="00BA40E3" w:rsidRDefault="00BA40E3" w:rsidP="000C3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42C09" w14:textId="10C10F41" w:rsidR="000C317A" w:rsidRDefault="000C317A">
    <w:pPr>
      <w:pStyle w:val="Header"/>
    </w:pPr>
    <w:r>
      <w:t>STEPHANIE VERGIL</w:t>
    </w:r>
  </w:p>
  <w:p w14:paraId="5BCA8618" w14:textId="77777777" w:rsidR="000C317A" w:rsidRDefault="000C3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6288F"/>
    <w:multiLevelType w:val="multilevel"/>
    <w:tmpl w:val="7BC4B2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54C11"/>
    <w:multiLevelType w:val="multilevel"/>
    <w:tmpl w:val="B57A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409748">
    <w:abstractNumId w:val="1"/>
  </w:num>
  <w:num w:numId="2" w16cid:durableId="99326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B2"/>
    <w:rsid w:val="00022E82"/>
    <w:rsid w:val="000C317A"/>
    <w:rsid w:val="000C7F9B"/>
    <w:rsid w:val="00110E3B"/>
    <w:rsid w:val="0032104B"/>
    <w:rsid w:val="00354286"/>
    <w:rsid w:val="009170CC"/>
    <w:rsid w:val="009A070E"/>
    <w:rsid w:val="00A90C6B"/>
    <w:rsid w:val="00BA40E3"/>
    <w:rsid w:val="00CE4CB2"/>
    <w:rsid w:val="00F5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BD78E"/>
  <w15:chartTrackingRefBased/>
  <w15:docId w15:val="{49F1324E-0ED5-C94B-84DF-B9FD6551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4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4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C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C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C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C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4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4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CB2"/>
    <w:rPr>
      <w:rFonts w:eastAsiaTheme="majorEastAsia" w:cstheme="majorBidi"/>
      <w:color w:val="272727" w:themeColor="text1" w:themeTint="D8"/>
    </w:rPr>
  </w:style>
  <w:style w:type="paragraph" w:styleId="Title">
    <w:name w:val="Title"/>
    <w:basedOn w:val="Normal"/>
    <w:next w:val="Normal"/>
    <w:link w:val="TitleChar"/>
    <w:uiPriority w:val="10"/>
    <w:qFormat/>
    <w:rsid w:val="00CE4C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C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C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4CB2"/>
    <w:rPr>
      <w:i/>
      <w:iCs/>
      <w:color w:val="404040" w:themeColor="text1" w:themeTint="BF"/>
    </w:rPr>
  </w:style>
  <w:style w:type="paragraph" w:styleId="ListParagraph">
    <w:name w:val="List Paragraph"/>
    <w:basedOn w:val="Normal"/>
    <w:uiPriority w:val="34"/>
    <w:qFormat/>
    <w:rsid w:val="00CE4CB2"/>
    <w:pPr>
      <w:ind w:left="720"/>
      <w:contextualSpacing/>
    </w:pPr>
  </w:style>
  <w:style w:type="character" w:styleId="IntenseEmphasis">
    <w:name w:val="Intense Emphasis"/>
    <w:basedOn w:val="DefaultParagraphFont"/>
    <w:uiPriority w:val="21"/>
    <w:qFormat/>
    <w:rsid w:val="00CE4CB2"/>
    <w:rPr>
      <w:i/>
      <w:iCs/>
      <w:color w:val="0F4761" w:themeColor="accent1" w:themeShade="BF"/>
    </w:rPr>
  </w:style>
  <w:style w:type="paragraph" w:styleId="IntenseQuote">
    <w:name w:val="Intense Quote"/>
    <w:basedOn w:val="Normal"/>
    <w:next w:val="Normal"/>
    <w:link w:val="IntenseQuoteChar"/>
    <w:uiPriority w:val="30"/>
    <w:qFormat/>
    <w:rsid w:val="00CE4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CB2"/>
    <w:rPr>
      <w:i/>
      <w:iCs/>
      <w:color w:val="0F4761" w:themeColor="accent1" w:themeShade="BF"/>
    </w:rPr>
  </w:style>
  <w:style w:type="character" w:styleId="IntenseReference">
    <w:name w:val="Intense Reference"/>
    <w:basedOn w:val="DefaultParagraphFont"/>
    <w:uiPriority w:val="32"/>
    <w:qFormat/>
    <w:rsid w:val="00CE4CB2"/>
    <w:rPr>
      <w:b/>
      <w:bCs/>
      <w:smallCaps/>
      <w:color w:val="0F4761" w:themeColor="accent1" w:themeShade="BF"/>
      <w:spacing w:val="5"/>
    </w:rPr>
  </w:style>
  <w:style w:type="paragraph" w:styleId="NormalWeb">
    <w:name w:val="Normal (Web)"/>
    <w:basedOn w:val="Normal"/>
    <w:uiPriority w:val="99"/>
    <w:semiHidden/>
    <w:unhideWhenUsed/>
    <w:rsid w:val="00CE4CB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C317A"/>
    <w:pPr>
      <w:tabs>
        <w:tab w:val="center" w:pos="4680"/>
        <w:tab w:val="right" w:pos="9360"/>
      </w:tabs>
    </w:pPr>
  </w:style>
  <w:style w:type="character" w:customStyle="1" w:styleId="HeaderChar">
    <w:name w:val="Header Char"/>
    <w:basedOn w:val="DefaultParagraphFont"/>
    <w:link w:val="Header"/>
    <w:uiPriority w:val="99"/>
    <w:rsid w:val="000C317A"/>
  </w:style>
  <w:style w:type="paragraph" w:styleId="Footer">
    <w:name w:val="footer"/>
    <w:basedOn w:val="Normal"/>
    <w:link w:val="FooterChar"/>
    <w:uiPriority w:val="99"/>
    <w:unhideWhenUsed/>
    <w:rsid w:val="000C317A"/>
    <w:pPr>
      <w:tabs>
        <w:tab w:val="center" w:pos="4680"/>
        <w:tab w:val="right" w:pos="9360"/>
      </w:tabs>
    </w:pPr>
  </w:style>
  <w:style w:type="character" w:customStyle="1" w:styleId="FooterChar">
    <w:name w:val="Footer Char"/>
    <w:basedOn w:val="DefaultParagraphFont"/>
    <w:link w:val="Footer"/>
    <w:uiPriority w:val="99"/>
    <w:rsid w:val="000C317A"/>
  </w:style>
  <w:style w:type="character" w:styleId="Hyperlink">
    <w:name w:val="Hyperlink"/>
    <w:basedOn w:val="DefaultParagraphFont"/>
    <w:uiPriority w:val="99"/>
    <w:unhideWhenUsed/>
    <w:rsid w:val="009A070E"/>
    <w:rPr>
      <w:color w:val="467886" w:themeColor="hyperlink"/>
      <w:u w:val="single"/>
    </w:rPr>
  </w:style>
  <w:style w:type="character" w:styleId="UnresolvedMention">
    <w:name w:val="Unresolved Mention"/>
    <w:basedOn w:val="DefaultParagraphFont"/>
    <w:uiPriority w:val="99"/>
    <w:semiHidden/>
    <w:unhideWhenUsed/>
    <w:rsid w:val="009A070E"/>
    <w:rPr>
      <w:color w:val="605E5C"/>
      <w:shd w:val="clear" w:color="auto" w:fill="E1DFDD"/>
    </w:rPr>
  </w:style>
  <w:style w:type="character" w:styleId="FollowedHyperlink">
    <w:name w:val="FollowedHyperlink"/>
    <w:basedOn w:val="DefaultParagraphFont"/>
    <w:uiPriority w:val="99"/>
    <w:semiHidden/>
    <w:unhideWhenUsed/>
    <w:rsid w:val="009A070E"/>
    <w:rPr>
      <w:color w:val="96607D" w:themeColor="followedHyperlink"/>
      <w:u w:val="single"/>
    </w:rPr>
  </w:style>
  <w:style w:type="character" w:styleId="Strong">
    <w:name w:val="Strong"/>
    <w:basedOn w:val="DefaultParagraphFont"/>
    <w:uiPriority w:val="22"/>
    <w:qFormat/>
    <w:rsid w:val="009A070E"/>
    <w:rPr>
      <w:b/>
      <w:bCs/>
    </w:rPr>
  </w:style>
  <w:style w:type="character" w:customStyle="1" w:styleId="apple-converted-space">
    <w:name w:val="apple-converted-space"/>
    <w:basedOn w:val="DefaultParagraphFont"/>
    <w:rsid w:val="009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321888">
      <w:bodyDiv w:val="1"/>
      <w:marLeft w:val="0"/>
      <w:marRight w:val="0"/>
      <w:marTop w:val="0"/>
      <w:marBottom w:val="0"/>
      <w:divBdr>
        <w:top w:val="none" w:sz="0" w:space="0" w:color="auto"/>
        <w:left w:val="none" w:sz="0" w:space="0" w:color="auto"/>
        <w:bottom w:val="none" w:sz="0" w:space="0" w:color="auto"/>
        <w:right w:val="none" w:sz="0" w:space="0" w:color="auto"/>
      </w:divBdr>
    </w:div>
    <w:div w:id="857235914">
      <w:bodyDiv w:val="1"/>
      <w:marLeft w:val="0"/>
      <w:marRight w:val="0"/>
      <w:marTop w:val="0"/>
      <w:marBottom w:val="0"/>
      <w:divBdr>
        <w:top w:val="none" w:sz="0" w:space="0" w:color="auto"/>
        <w:left w:val="none" w:sz="0" w:space="0" w:color="auto"/>
        <w:bottom w:val="none" w:sz="0" w:space="0" w:color="auto"/>
        <w:right w:val="none" w:sz="0" w:space="0" w:color="auto"/>
      </w:divBdr>
    </w:div>
    <w:div w:id="1100568688">
      <w:bodyDiv w:val="1"/>
      <w:marLeft w:val="0"/>
      <w:marRight w:val="0"/>
      <w:marTop w:val="0"/>
      <w:marBottom w:val="0"/>
      <w:divBdr>
        <w:top w:val="none" w:sz="0" w:space="0" w:color="auto"/>
        <w:left w:val="none" w:sz="0" w:space="0" w:color="auto"/>
        <w:bottom w:val="none" w:sz="0" w:space="0" w:color="auto"/>
        <w:right w:val="none" w:sz="0" w:space="0" w:color="auto"/>
      </w:divBdr>
    </w:div>
    <w:div w:id="12952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fema.gov/emergency-managers/national-preparedness/pl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src.nist.gov/publications/detail/sp/800-34/rev-1/fin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75106.html" TargetMode="External"/><Relationship Id="rId5" Type="http://schemas.openxmlformats.org/officeDocument/2006/relationships/footnotes" Target="footnotes.xml"/><Relationship Id="rId15" Type="http://schemas.openxmlformats.org/officeDocument/2006/relationships/hyperlink" Target="https://www.hhs.texas.gov/providers/long-term-care-providers/assisted-living-facilities-alf"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learn.microsoft.com/en-us/azure/backup/backu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Vergil</dc:creator>
  <cp:keywords/>
  <dc:description/>
  <cp:lastModifiedBy>Stephanie Vergil</cp:lastModifiedBy>
  <cp:revision>4</cp:revision>
  <dcterms:created xsi:type="dcterms:W3CDTF">2025-01-15T22:40:00Z</dcterms:created>
  <dcterms:modified xsi:type="dcterms:W3CDTF">2025-01-15T22:50:00Z</dcterms:modified>
</cp:coreProperties>
</file>