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40"/>
          <w:szCs w:val="40"/>
        </w:rPr>
        <w:t xml:space="preserve">RQ1 Results: Small-Scale vs. Full-Scale Analysis</w:t>
      </w:r>
    </w:p>
    <w:p>
      <w:pPr>
        <w:spacing w:after="400"/>
      </w:pPr>
      <w:r>
        <w:rPr>
          <w:i/>
          <w:iCs/>
          <w:color w:val="6B7280"/>
          <w:sz w:val="22"/>
          <w:szCs w:val="22"/>
        </w:rPr>
        <w:t xml:space="preserve">Reference notes for the results and discussion chapters — sentiment trajectory analysis of Dota 2 team chat</w:t>
      </w:r>
    </w:p>
    <w:p>
      <w:pPr>
        <w:pStyle w:val="Heading1"/>
        <w:spacing w:after="160" w:before="320"/>
      </w:pPr>
      <w:r>
        <w:t xml:space="preserve">1. Purpose of this document</w:t>
      </w:r>
    </w:p>
    <w:p>
      <w:pPr>
        <w:spacing w:after="160"/>
      </w:pPr>
      <w:r>
        <w:t xml:space="preserve">This document records the full RQ1 statistical results from both the small-scale (OpenDota-derived) and full-scale (Kaggle bulk export) datasets, explains why the two runs produced apparently different conclusions, and provides ready-to-adapt language for the results and discussion chapters. It is intended as a working reference, not a final write-up — the wording below can be lifted directly or adapted as needed.</w:t>
      </w:r>
    </w:p>
    <w:p>
      <w:pPr>
        <w:pStyle w:val="Heading1"/>
        <w:spacing w:after="160" w:before="320"/>
      </w:pPr>
      <w:r>
        <w:t xml:space="preserve">2. What RQ1 tests</w:t>
      </w:r>
    </w:p>
    <w:p>
      <w:pPr>
        <w:spacing w:after="160"/>
      </w:pPr>
      <w:r>
        <w:t xml:space="preserve">RQ1 asks whether winning and losing teams show different sentiment trajectories across three independent features, each treated as a separate statistical test per the proposal (section 4.5.3):</w:t>
      </w:r>
    </w:p>
    <w:p>
      <w:pPr>
        <w:pStyle w:val="ListParagraph"/>
        <w:numPr>
          <w:ilvl w:val="0"/>
          <w:numId w:val="1"/>
        </w:numPr>
        <w:spacing w:after="80"/>
      </w:pPr>
      <w:r>
        <w:t xml:space="preserve">Slope — the linear trend of a team's sentiment across the whole match.</w:t>
      </w:r>
    </w:p>
    <w:p>
      <w:pPr>
        <w:pStyle w:val="ListParagraph"/>
        <w:numPr>
          <w:ilvl w:val="0"/>
          <w:numId w:val="1"/>
        </w:numPr>
        <w:spacing w:after="80"/>
      </w:pPr>
      <w:r>
        <w:t xml:space="preserve">Volatility — the standard deviation of a team's sentiment scores across the whole match.</w:t>
      </w:r>
    </w:p>
    <w:p>
      <w:pPr>
        <w:pStyle w:val="ListParagraph"/>
        <w:numPr>
          <w:ilvl w:val="0"/>
          <w:numId w:val="1"/>
        </w:numPr>
        <w:spacing w:after="80"/>
      </w:pPr>
      <w:r>
        <w:t xml:space="preserve">Phase delta — the difference between a team's mean sentiment in the late phase and the early phase.</w:t>
      </w:r>
    </w:p>
    <w:p>
      <w:pPr>
        <w:spacing w:after="160"/>
      </w:pPr>
      <w:r>
        <w:t xml:space="preserve">For each feature, a Mann-Whitney U test (two-sided) assesses whether the distributions differ between winning and losing teams, and Cohen's d quantifies the size of any difference, independent of statistical significance. Cohen's conventional thresholds (1988) label d ≈ 0.2 as a small effect, 0.5 as medium, and 0.8 as large; values below 0.2 are referred to here as “negligible” — this labelling is an extension used consistently throughout this project, not part of Cohen's original terminology.</w:t>
      </w:r>
    </w:p>
    <w:p>
      <w:pPr>
        <w:pStyle w:val="Heading1"/>
        <w:spacing w:after="160" w:before="320"/>
      </w:pPr>
      <w:r>
        <w:t xml:space="preserve">3. The two datasets compared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800"/>
      </w:tblGrid>
      <w:tr>
        <w:trPr>
          <w:tblHeader/>
        </w:trPr>
        <w:tc>
          <w:tcPr>
            <w:tcW w:type="dxa" w:w="2800"/>
            <w:shd w:fill="1E2761" w:val="clear"/>
            <w:tcMar>
              <w:top w:type="dxa" w:w="100"/>
              <w:left w:type="dxa" w:w="120"/>
              <w:bottom w:type="dxa" w:w="100"/>
              <w:right w:type="dxa" w:w="120"/>
            </w:tcMar>
            <w:vAlign w:val="center"/>
          </w:tcPr>
          <w:p>
            <w:r>
              <w:rPr>
                <w:b/>
                <w:bCs/>
                <w:color w:val="FFFFFF"/>
                <w:sz w:val="19"/>
                <w:szCs w:val="19"/>
              </w:rPr>
              <w:t xml:space="preserve"/>
            </w:r>
          </w:p>
        </w:tc>
        <w:tc>
          <w:tcPr>
            <w:tcW w:type="dxa" w:w="3800"/>
            <w:shd w:fill="1E2761" w:val="clear"/>
            <w:tcMar>
              <w:top w:type="dxa" w:w="100"/>
              <w:left w:type="dxa" w:w="120"/>
              <w:bottom w:type="dxa" w:w="100"/>
              <w:right w:type="dxa" w:w="120"/>
            </w:tcMar>
            <w:vAlign w:val="center"/>
          </w:tcPr>
          <w:p>
            <w:r>
              <w:rPr>
                <w:b/>
                <w:bCs/>
                <w:color w:val="FFFFFF"/>
                <w:sz w:val="19"/>
                <w:szCs w:val="19"/>
              </w:rPr>
              <w:t xml:space="preserve">Small-scale (OpenDota)</w:t>
            </w:r>
          </w:p>
        </w:tc>
        <w:tc>
          <w:tcPr>
            <w:tcW w:type="dxa" w:w="3800"/>
            <w:shd w:fill="1E2761" w:val="clear"/>
            <w:tcMar>
              <w:top w:type="dxa" w:w="100"/>
              <w:left w:type="dxa" w:w="120"/>
              <w:bottom w:type="dxa" w:w="100"/>
              <w:right w:type="dxa" w:w="120"/>
            </w:tcMar>
            <w:vAlign w:val="center"/>
          </w:tcPr>
          <w:p>
            <w:r>
              <w:rPr>
                <w:b/>
                <w:bCs/>
                <w:color w:val="FFFFFF"/>
                <w:sz w:val="19"/>
                <w:szCs w:val="19"/>
              </w:rPr>
              <w:t xml:space="preserve">Full-scale (Kaggle bulk export)</w:t>
            </w:r>
          </w:p>
        </w:tc>
      </w:tr>
      <w:tr>
        <w:tc>
          <w:tcPr>
            <w:tcW w:type="dxa" w:w="2800"/>
            <w:shd w:fill="FFFFFF" w:val="clear"/>
            <w:tcMar>
              <w:top w:type="dxa" w:w="90"/>
              <w:left w:type="dxa" w:w="120"/>
              <w:bottom w:type="dxa" w:w="90"/>
              <w:right w:type="dxa" w:w="120"/>
            </w:tcMar>
            <w:vAlign w:val="center"/>
          </w:tcPr>
          <w:p>
            <w:r>
              <w:rPr>
                <w:b/>
                <w:bCs/>
                <w:color w:val="1E2761"/>
                <w:sz w:val="19"/>
                <w:szCs w:val="19"/>
              </w:rPr>
              <w:t xml:space="preserve">Matches used</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609</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38,810</w:t>
            </w:r>
          </w:p>
        </w:tc>
      </w:tr>
      <w:tr>
        <w:tc>
          <w:tcPr>
            <w:tcW w:type="dxa" w:w="2800"/>
            <w:shd w:fill="F7F8FC" w:val="clear"/>
            <w:tcMar>
              <w:top w:type="dxa" w:w="90"/>
              <w:left w:type="dxa" w:w="120"/>
              <w:bottom w:type="dxa" w:w="90"/>
              <w:right w:type="dxa" w:w="120"/>
            </w:tcMar>
            <w:vAlign w:val="center"/>
          </w:tcPr>
          <w:p>
            <w:r>
              <w:rPr>
                <w:b/>
                <w:bCs/>
                <w:color w:val="1E2761"/>
                <w:sz w:val="19"/>
                <w:szCs w:val="19"/>
              </w:rPr>
              <w:t xml:space="preserve">Team-trajectories</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1,138 (slope/vol.) / 518 (phase delta)</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77,620 (76,662 slope/vol.) / 41,225 (phase delta)</w:t>
            </w:r>
          </w:p>
        </w:tc>
      </w:tr>
      <w:tr>
        <w:tc>
          <w:tcPr>
            <w:tcW w:type="dxa" w:w="2800"/>
            <w:shd w:fill="FFFFFF" w:val="clear"/>
            <w:tcMar>
              <w:top w:type="dxa" w:w="90"/>
              <w:left w:type="dxa" w:w="120"/>
              <w:bottom w:type="dxa" w:w="90"/>
              <w:right w:type="dxa" w:w="120"/>
            </w:tcMar>
            <w:vAlign w:val="center"/>
          </w:tcPr>
          <w:p>
            <w:r>
              <w:rPr>
                <w:b/>
                <w:bCs/>
                <w:color w:val="1E2761"/>
                <w:sz w:val="19"/>
                <w:szCs w:val="19"/>
              </w:rPr>
              <w:t xml:space="preserve">Data source</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Live OpenDota API (parse-on-request)</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Pre-parsed bulk Kaggle export</w:t>
            </w:r>
          </w:p>
        </w:tc>
      </w:tr>
      <w:tr>
        <w:tc>
          <w:tcPr>
            <w:tcW w:type="dxa" w:w="2800"/>
            <w:shd w:fill="F7F8FC" w:val="clear"/>
            <w:tcMar>
              <w:top w:type="dxa" w:w="90"/>
              <w:left w:type="dxa" w:w="120"/>
              <w:bottom w:type="dxa" w:w="90"/>
              <w:right w:type="dxa" w:w="120"/>
            </w:tcMar>
            <w:vAlign w:val="center"/>
          </w:tcPr>
          <w:p>
            <w:r>
              <w:rPr>
                <w:b/>
                <w:bCs/>
                <w:color w:val="1E2761"/>
                <w:sz w:val="19"/>
                <w:szCs w:val="19"/>
              </w:rPr>
              <w:t xml:space="preserve">Match date range</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Collected 2026 (contemporary)</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November 2015 (~11 years old)</w:t>
            </w:r>
          </w:p>
        </w:tc>
      </w:tr>
      <w:tr>
        <w:tc>
          <w:tcPr>
            <w:tcW w:type="dxa" w:w="2800"/>
            <w:shd w:fill="FFFFFF" w:val="clear"/>
            <w:tcMar>
              <w:top w:type="dxa" w:w="90"/>
              <w:left w:type="dxa" w:w="120"/>
              <w:bottom w:type="dxa" w:w="90"/>
              <w:right w:type="dxa" w:w="120"/>
            </w:tcMar>
            <w:vAlign w:val="center"/>
          </w:tcPr>
          <w:p>
            <w:r>
              <w:rPr>
                <w:b/>
                <w:bCs/>
                <w:color w:val="1E2761"/>
                <w:sz w:val="19"/>
                <w:szCs w:val="19"/>
              </w:rPr>
              <w:t xml:space="preserve">Median messages / match</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2 (before filtering)</w:t>
            </w:r>
          </w:p>
        </w:tc>
        <w:tc>
          <w:tcPr>
            <w:tcW w:type="dxa" w:w="3800"/>
            <w:shd w:fill="FFFFFF" w:val="clear"/>
            <w:tcMar>
              <w:top w:type="dxa" w:w="90"/>
              <w:left w:type="dxa" w:w="120"/>
              <w:bottom w:type="dxa" w:w="90"/>
              <w:right w:type="dxa" w:w="120"/>
            </w:tcMar>
            <w:vAlign w:val="center"/>
          </w:tcPr>
          <w:p>
            <w:r>
              <w:rPr>
                <w:b w:val="false"/>
                <w:bCs w:val="false"/>
                <w:color w:val="1a1a1a"/>
                <w:sz w:val="19"/>
                <w:szCs w:val="19"/>
              </w:rPr>
              <w:t xml:space="preserve">21 (before filtering)</w:t>
            </w:r>
          </w:p>
        </w:tc>
      </w:tr>
      <w:tr>
        <w:tc>
          <w:tcPr>
            <w:tcW w:type="dxa" w:w="2800"/>
            <w:shd w:fill="F7F8FC" w:val="clear"/>
            <w:tcMar>
              <w:top w:type="dxa" w:w="90"/>
              <w:left w:type="dxa" w:w="120"/>
              <w:bottom w:type="dxa" w:w="90"/>
              <w:right w:type="dxa" w:w="120"/>
            </w:tcMar>
            <w:vAlign w:val="center"/>
          </w:tcPr>
          <w:p>
            <w:r>
              <w:rPr>
                <w:b/>
                <w:bCs/>
                <w:color w:val="1E2761"/>
                <w:sz w:val="19"/>
                <w:szCs w:val="19"/>
              </w:rPr>
              <w:t xml:space="preserve">Quality filter applied</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≥6 messages, both teams present</w:t>
            </w:r>
          </w:p>
        </w:tc>
        <w:tc>
          <w:tcPr>
            <w:tcW w:type="dxa" w:w="3800"/>
            <w:shd w:fill="F7F8FC" w:val="clear"/>
            <w:tcMar>
              <w:top w:type="dxa" w:w="90"/>
              <w:left w:type="dxa" w:w="120"/>
              <w:bottom w:type="dxa" w:w="90"/>
              <w:right w:type="dxa" w:w="120"/>
            </w:tcMar>
            <w:vAlign w:val="center"/>
          </w:tcPr>
          <w:p>
            <w:r>
              <w:rPr>
                <w:b w:val="false"/>
                <w:bCs w:val="false"/>
                <w:color w:val="1a1a1a"/>
                <w:sz w:val="19"/>
                <w:szCs w:val="19"/>
              </w:rPr>
              <w:t xml:space="preserve">≥10 messages, both teams present</w:t>
            </w:r>
          </w:p>
        </w:tc>
      </w:tr>
    </w:tbl>
    <w:p>
      <w:pPr>
        <w:spacing w:after="300"/>
      </w:pPr>
    </w:p>
    <w:p>
      <w:pPr>
        <w:spacing w:after="160"/>
      </w:pPr>
      <w:r>
        <w:t xml:space="preserve">The full-scale dataset was adopted partway through the project after the original OpenDota collection pipeline proved slow and unreliable at scale (see methodology chapter for the full account). Both datasets use the same team-assignment, VADER scoring with the validated domain lexicon override, and phase-boundary logic (with the boundary definition itself refined between runs — see section 6).</w:t>
      </w:r>
    </w:p>
    <w:p>
      <w:pPr>
        <w:pStyle w:val="Heading1"/>
        <w:spacing w:after="160" w:before="320"/>
      </w:pPr>
      <w:r>
        <w:t xml:space="preserve">4. Small-scale results (609 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50"/>
        <w:gridCol w:w="1750"/>
        <w:gridCol w:w="1500"/>
        <w:gridCol w:w="1300"/>
        <w:gridCol w:w="1100"/>
        <w:gridCol w:w="1200"/>
      </w:tblGrid>
      <w:tr>
        <w:trPr>
          <w:tblHeader/>
        </w:trPr>
        <w:tc>
          <w:tcPr>
            <w:tcW w:type="dxa" w:w="1300"/>
            <w:shd w:fill="1E2761" w:val="clear"/>
            <w:tcMar>
              <w:top w:type="dxa" w:w="100"/>
              <w:left w:type="dxa" w:w="100"/>
              <w:bottom w:type="dxa" w:w="100"/>
              <w:right w:type="dxa" w:w="100"/>
            </w:tcMar>
            <w:vAlign w:val="center"/>
          </w:tcPr>
          <w:p>
            <w:pPr>
              <w:jc w:val="center"/>
            </w:pPr>
            <w:r>
              <w:rPr>
                <w:b/>
                <w:bCs/>
                <w:color w:val="FFFFFF"/>
                <w:sz w:val="18"/>
                <w:szCs w:val="18"/>
              </w:rPr>
              <w:t xml:space="preserve">Feature</w:t>
            </w:r>
          </w:p>
        </w:tc>
        <w:tc>
          <w:tcPr>
            <w:tcW w:type="dxa" w:w="1500"/>
            <w:shd w:fill="1E2761" w:val="clear"/>
            <w:tcMar>
              <w:top w:type="dxa" w:w="100"/>
              <w:left w:type="dxa" w:w="100"/>
              <w:bottom w:type="dxa" w:w="100"/>
              <w:right w:type="dxa" w:w="100"/>
            </w:tcMar>
            <w:vAlign w:val="center"/>
          </w:tcPr>
          <w:p>
            <w:pPr>
              <w:jc w:val="center"/>
            </w:pPr>
            <w:r>
              <w:rPr>
                <w:b/>
                <w:bCs/>
                <w:color w:val="FFFFFF"/>
                <w:sz w:val="18"/>
                <w:szCs w:val="18"/>
              </w:rPr>
              <w:t xml:space="preserve">n (win / lose)</w:t>
            </w:r>
          </w:p>
        </w:tc>
        <w:tc>
          <w:tcPr>
            <w:tcW w:type="dxa" w:w="1750"/>
            <w:shd w:fill="1E2761" w:val="clear"/>
            <w:tcMar>
              <w:top w:type="dxa" w:w="100"/>
              <w:left w:type="dxa" w:w="100"/>
              <w:bottom w:type="dxa" w:w="100"/>
              <w:right w:type="dxa" w:w="100"/>
            </w:tcMar>
            <w:vAlign w:val="center"/>
          </w:tcPr>
          <w:p>
            <w:pPr>
              <w:jc w:val="center"/>
            </w:pPr>
            <w:r>
              <w:rPr>
                <w:b/>
                <w:bCs/>
                <w:color w:val="FFFFFF"/>
                <w:sz w:val="18"/>
                <w:szCs w:val="18"/>
              </w:rPr>
              <w:t xml:space="preserve">Median (win / lose)</w:t>
            </w:r>
          </w:p>
        </w:tc>
        <w:tc>
          <w:tcPr>
            <w:tcW w:type="dxa" w:w="1750"/>
            <w:shd w:fill="1E2761" w:val="clear"/>
            <w:tcMar>
              <w:top w:type="dxa" w:w="100"/>
              <w:left w:type="dxa" w:w="100"/>
              <w:bottom w:type="dxa" w:w="100"/>
              <w:right w:type="dxa" w:w="100"/>
            </w:tcMar>
            <w:vAlign w:val="center"/>
          </w:tcPr>
          <w:p>
            <w:pPr>
              <w:jc w:val="center"/>
            </w:pPr>
            <w:r>
              <w:rPr>
                <w:b/>
                <w:bCs/>
                <w:color w:val="FFFFFF"/>
                <w:sz w:val="18"/>
                <w:szCs w:val="18"/>
              </w:rPr>
              <w:t xml:space="preserve">Mean (win / lose)</w:t>
            </w:r>
          </w:p>
        </w:tc>
        <w:tc>
          <w:tcPr>
            <w:tcW w:type="dxa" w:w="1500"/>
            <w:shd w:fill="1E2761" w:val="clear"/>
            <w:tcMar>
              <w:top w:type="dxa" w:w="100"/>
              <w:left w:type="dxa" w:w="100"/>
              <w:bottom w:type="dxa" w:w="100"/>
              <w:right w:type="dxa" w:w="100"/>
            </w:tcMar>
            <w:vAlign w:val="center"/>
          </w:tcPr>
          <w:p>
            <w:pPr>
              <w:jc w:val="center"/>
            </w:pPr>
            <w:r>
              <w:rPr>
                <w:b/>
                <w:bCs/>
                <w:color w:val="FFFFFF"/>
                <w:sz w:val="18"/>
                <w:szCs w:val="18"/>
              </w:rPr>
              <w:t xml:space="preserve">U statistic</w:t>
            </w:r>
          </w:p>
        </w:tc>
        <w:tc>
          <w:tcPr>
            <w:tcW w:type="dxa" w:w="1300"/>
            <w:shd w:fill="1E2761" w:val="clear"/>
            <w:tcMar>
              <w:top w:type="dxa" w:w="100"/>
              <w:left w:type="dxa" w:w="100"/>
              <w:bottom w:type="dxa" w:w="100"/>
              <w:right w:type="dxa" w:w="100"/>
            </w:tcMar>
            <w:vAlign w:val="center"/>
          </w:tcPr>
          <w:p>
            <w:pPr>
              <w:jc w:val="center"/>
            </w:pPr>
            <w:r>
              <w:rPr>
                <w:b/>
                <w:bCs/>
                <w:color w:val="FFFFFF"/>
                <w:sz w:val="18"/>
                <w:szCs w:val="18"/>
              </w:rPr>
              <w:t xml:space="preserve">p-value</w:t>
            </w:r>
          </w:p>
        </w:tc>
        <w:tc>
          <w:tcPr>
            <w:tcW w:type="dxa" w:w="1100"/>
            <w:shd w:fill="1E2761" w:val="clear"/>
            <w:tcMar>
              <w:top w:type="dxa" w:w="100"/>
              <w:left w:type="dxa" w:w="100"/>
              <w:bottom w:type="dxa" w:w="100"/>
              <w:right w:type="dxa" w:w="100"/>
            </w:tcMar>
            <w:vAlign w:val="center"/>
          </w:tcPr>
          <w:p>
            <w:pPr>
              <w:jc w:val="center"/>
            </w:pPr>
            <w:r>
              <w:rPr>
                <w:b/>
                <w:bCs/>
                <w:color w:val="FFFFFF"/>
                <w:sz w:val="18"/>
                <w:szCs w:val="18"/>
              </w:rPr>
              <w:t xml:space="preserve">Cohen's d</w:t>
            </w:r>
          </w:p>
        </w:tc>
        <w:tc>
          <w:tcPr>
            <w:tcW w:type="dxa" w:w="1200"/>
            <w:shd w:fill="1E2761" w:val="clear"/>
            <w:tcMar>
              <w:top w:type="dxa" w:w="100"/>
              <w:left w:type="dxa" w:w="100"/>
              <w:bottom w:type="dxa" w:w="100"/>
              <w:right w:type="dxa" w:w="100"/>
            </w:tcMar>
            <w:vAlign w:val="center"/>
          </w:tcPr>
          <w:p>
            <w:pPr>
              <w:jc w:val="center"/>
            </w:pPr>
            <w:r>
              <w:rPr>
                <w:b/>
                <w:bCs/>
                <w:color w:val="FFFFFF"/>
                <w:sz w:val="18"/>
                <w:szCs w:val="18"/>
              </w:rPr>
              <w:t xml:space="preserve">Effect</w:t>
            </w:r>
          </w:p>
        </w:tc>
      </w:tr>
      <w:tr>
        <w:tc>
          <w:tcPr>
            <w:tcW w:type="dxa" w:w="1300"/>
            <w:shd w:fill="FFFFFF" w:val="clear"/>
            <w:tcMar>
              <w:top w:type="dxa" w:w="90"/>
              <w:left w:type="dxa" w:w="100"/>
              <w:bottom w:type="dxa" w:w="90"/>
              <w:right w:type="dxa" w:w="100"/>
            </w:tcMar>
            <w:vAlign w:val="center"/>
          </w:tcPr>
          <w:p>
            <w:pPr>
              <w:jc w:val="left"/>
            </w:pPr>
            <w:r>
              <w:rPr>
                <w:b/>
                <w:bCs/>
                <w:color w:val="1E2761"/>
                <w:sz w:val="18"/>
                <w:szCs w:val="18"/>
              </w:rPr>
              <w:t xml:space="preserve">Slope</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573 / 565</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0.0000 / 0.0000</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−0.0006 / −0.0005</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167,059</w:t>
            </w:r>
          </w:p>
        </w:tc>
        <w:tc>
          <w:tcPr>
            <w:tcW w:type="dxa" w:w="13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0.311</w:t>
            </w:r>
          </w:p>
        </w:tc>
        <w:tc>
          <w:tcPr>
            <w:tcW w:type="dxa" w:w="11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−0.007</w:t>
            </w:r>
          </w:p>
        </w:tc>
        <w:tc>
          <w:tcPr>
            <w:tcW w:type="dxa" w:w="12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r>
        <w:tc>
          <w:tcPr>
            <w:tcW w:type="dxa" w:w="1300"/>
            <w:shd w:fill="F7F8FC" w:val="clear"/>
            <w:tcMar>
              <w:top w:type="dxa" w:w="90"/>
              <w:left w:type="dxa" w:w="100"/>
              <w:bottom w:type="dxa" w:w="90"/>
              <w:right w:type="dxa" w:w="100"/>
            </w:tcMar>
            <w:vAlign w:val="center"/>
          </w:tcPr>
          <w:p>
            <w:pPr>
              <w:jc w:val="left"/>
            </w:pPr>
            <w:r>
              <w:rPr>
                <w:b/>
                <w:bCs/>
                <w:color w:val="1E2761"/>
                <w:sz w:val="18"/>
                <w:szCs w:val="18"/>
              </w:rPr>
              <w:t xml:space="preserve">Volatility</w:t>
            </w:r>
          </w:p>
        </w:tc>
        <w:tc>
          <w:tcPr>
            <w:tcW w:type="dxa" w:w="15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573 / 565</w:t>
            </w:r>
          </w:p>
        </w:tc>
        <w:tc>
          <w:tcPr>
            <w:tcW w:type="dxa" w:w="175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0.0000 / 0.0000</w:t>
            </w:r>
          </w:p>
        </w:tc>
        <w:tc>
          <w:tcPr>
            <w:tcW w:type="dxa" w:w="175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0.1141 / 0.1047</w:t>
            </w:r>
          </w:p>
        </w:tc>
        <w:tc>
          <w:tcPr>
            <w:tcW w:type="dxa" w:w="15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169,556</w:t>
            </w:r>
          </w:p>
        </w:tc>
        <w:tc>
          <w:tcPr>
            <w:tcW w:type="dxa" w:w="13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0.131</w:t>
            </w:r>
          </w:p>
        </w:tc>
        <w:tc>
          <w:tcPr>
            <w:tcW w:type="dxa" w:w="11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0.065</w:t>
            </w:r>
          </w:p>
        </w:tc>
        <w:tc>
          <w:tcPr>
            <w:tcW w:type="dxa" w:w="12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r>
        <w:tc>
          <w:tcPr>
            <w:tcW w:type="dxa" w:w="1300"/>
            <w:shd w:fill="FFFFFF" w:val="clear"/>
            <w:tcMar>
              <w:top w:type="dxa" w:w="90"/>
              <w:left w:type="dxa" w:w="100"/>
              <w:bottom w:type="dxa" w:w="90"/>
              <w:right w:type="dxa" w:w="100"/>
            </w:tcMar>
            <w:vAlign w:val="center"/>
          </w:tcPr>
          <w:p>
            <w:pPr>
              <w:jc w:val="left"/>
            </w:pPr>
            <w:r>
              <w:rPr>
                <w:b/>
                <w:bCs/>
                <w:color w:val="1E2761"/>
                <w:sz w:val="18"/>
                <w:szCs w:val="18"/>
              </w:rPr>
              <w:t xml:space="preserve">Phase delta</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267 / 251</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0.0000 / 0.0000</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0.0174 / 0.0077</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33,318</w:t>
            </w:r>
          </w:p>
        </w:tc>
        <w:tc>
          <w:tcPr>
            <w:tcW w:type="dxa" w:w="13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0.903</w:t>
            </w:r>
          </w:p>
        </w:tc>
        <w:tc>
          <w:tcPr>
            <w:tcW w:type="dxa" w:w="11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0.050</w:t>
            </w:r>
          </w:p>
        </w:tc>
        <w:tc>
          <w:tcPr>
            <w:tcW w:type="dxa" w:w="12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bl>
    <w:p>
      <w:pPr>
        <w:spacing w:after="200"/>
      </w:pPr>
    </w:p>
    <w:p>
      <w:pPr>
        <w:spacing w:after="160"/>
      </w:pPr>
      <w:r>
        <w:t xml:space="preserve">All three p-values are well above 0.05, and all three |Cohen's d| values are under 0.07 — no statistically or practically meaningful difference detected on any feature. Note that all three medians are exactly 0.0000, reflecting the sparsity of this dataset (median 2 messages per match before filtering).</w:t>
      </w:r>
    </w:p>
    <w:p>
      <w:pPr>
        <w:pStyle w:val="Heading2"/>
        <w:spacing w:after="120" w:before="240"/>
      </w:pPr>
      <w:r>
        <w:t xml:space="preserve">4.1 Robustness check: ruling out data sparsity</w:t>
      </w:r>
    </w:p>
    <w:p>
      <w:pPr>
        <w:spacing w:after="160"/>
      </w:pPr>
      <w:r>
        <w:t xml:space="preserve">Before accepting the null result, the same comparison was re-run at increasing minimum-message-count thresholds (≥1, ≥5, ≥10, ≥15, ≥20 messages per team) to check whether sparse, low-information trajectories were diluting a real effect. If so, Cohen's d should have grown consistently as the threshold rose.</w:t>
      </w:r>
    </w:p>
    <w:p>
      <w:pPr>
        <w:pStyle w:val="ListParagraph"/>
        <w:numPr>
          <w:ilvl w:val="0"/>
          <w:numId w:val="1"/>
        </w:numPr>
        <w:spacing w:after="80"/>
      </w:pPr>
      <w:r>
        <w:t xml:space="preserve">Largest |Cohen's d| observed at any threshold: 0.194 (slope, at the ≥20 threshold) — still below the 0.2 small-effect line.</w:t>
      </w:r>
    </w:p>
    <w:p>
      <w:pPr>
        <w:pStyle w:val="ListParagraph"/>
        <w:numPr>
          <w:ilvl w:val="0"/>
          <w:numId w:val="1"/>
        </w:numPr>
        <w:spacing w:after="80"/>
      </w:pPr>
      <w:r>
        <w:t xml:space="preserve">Smallest p-value observed at any threshold: 0.065 (phase delta, at the ≥20 threshold) — still not significant at α = 0.05.</w:t>
      </w:r>
    </w:p>
    <w:p>
      <w:pPr>
        <w:pStyle w:val="ListParagraph"/>
        <w:numPr>
          <w:ilvl w:val="0"/>
          <w:numId w:val="1"/>
        </w:numPr>
        <w:spacing w:after="80"/>
      </w:pPr>
      <w:r>
        <w:t xml:space="preserve">No feature showed a consistent trend toward significance as sparse trajectories were excluded.</w:t>
      </w:r>
    </w:p>
    <w:p>
      <w:pPr>
        <w:spacing w:after="160"/>
      </w:pPr>
      <w:r>
        <w:t xml:space="preserve">Conclusion: the small-scale null result is genuine, not an artifact of insufficient data density.</w:t>
      </w:r>
    </w:p>
    <w:p>
      <w:pPr>
        <w:pStyle w:val="Heading1"/>
        <w:spacing w:after="160" w:before="320"/>
      </w:pPr>
      <w:r>
        <w:t xml:space="preserve">5. Full-scale results (38,810 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50"/>
        <w:gridCol w:w="1750"/>
        <w:gridCol w:w="1500"/>
        <w:gridCol w:w="1300"/>
        <w:gridCol w:w="1100"/>
        <w:gridCol w:w="1200"/>
      </w:tblGrid>
      <w:tr>
        <w:trPr>
          <w:tblHeader/>
        </w:trPr>
        <w:tc>
          <w:tcPr>
            <w:tcW w:type="dxa" w:w="1300"/>
            <w:shd w:fill="1E2761" w:val="clear"/>
            <w:tcMar>
              <w:top w:type="dxa" w:w="100"/>
              <w:left w:type="dxa" w:w="100"/>
              <w:bottom w:type="dxa" w:w="100"/>
              <w:right w:type="dxa" w:w="100"/>
            </w:tcMar>
            <w:vAlign w:val="center"/>
          </w:tcPr>
          <w:p>
            <w:pPr>
              <w:jc w:val="center"/>
            </w:pPr>
            <w:r>
              <w:rPr>
                <w:b/>
                <w:bCs/>
                <w:color w:val="FFFFFF"/>
                <w:sz w:val="18"/>
                <w:szCs w:val="18"/>
              </w:rPr>
              <w:t xml:space="preserve">Feature</w:t>
            </w:r>
          </w:p>
        </w:tc>
        <w:tc>
          <w:tcPr>
            <w:tcW w:type="dxa" w:w="1500"/>
            <w:shd w:fill="1E2761" w:val="clear"/>
            <w:tcMar>
              <w:top w:type="dxa" w:w="100"/>
              <w:left w:type="dxa" w:w="100"/>
              <w:bottom w:type="dxa" w:w="100"/>
              <w:right w:type="dxa" w:w="100"/>
            </w:tcMar>
            <w:vAlign w:val="center"/>
          </w:tcPr>
          <w:p>
            <w:pPr>
              <w:jc w:val="center"/>
            </w:pPr>
            <w:r>
              <w:rPr>
                <w:b/>
                <w:bCs/>
                <w:color w:val="FFFFFF"/>
                <w:sz w:val="18"/>
                <w:szCs w:val="18"/>
              </w:rPr>
              <w:t xml:space="preserve">n (win / lose)</w:t>
            </w:r>
          </w:p>
        </w:tc>
        <w:tc>
          <w:tcPr>
            <w:tcW w:type="dxa" w:w="1750"/>
            <w:shd w:fill="1E2761" w:val="clear"/>
            <w:tcMar>
              <w:top w:type="dxa" w:w="100"/>
              <w:left w:type="dxa" w:w="100"/>
              <w:bottom w:type="dxa" w:w="100"/>
              <w:right w:type="dxa" w:w="100"/>
            </w:tcMar>
            <w:vAlign w:val="center"/>
          </w:tcPr>
          <w:p>
            <w:pPr>
              <w:jc w:val="center"/>
            </w:pPr>
            <w:r>
              <w:rPr>
                <w:b/>
                <w:bCs/>
                <w:color w:val="FFFFFF"/>
                <w:sz w:val="18"/>
                <w:szCs w:val="18"/>
              </w:rPr>
              <w:t xml:space="preserve">Median (win / lose)</w:t>
            </w:r>
          </w:p>
        </w:tc>
        <w:tc>
          <w:tcPr>
            <w:tcW w:type="dxa" w:w="1750"/>
            <w:shd w:fill="1E2761" w:val="clear"/>
            <w:tcMar>
              <w:top w:type="dxa" w:w="100"/>
              <w:left w:type="dxa" w:w="100"/>
              <w:bottom w:type="dxa" w:w="100"/>
              <w:right w:type="dxa" w:w="100"/>
            </w:tcMar>
            <w:vAlign w:val="center"/>
          </w:tcPr>
          <w:p>
            <w:pPr>
              <w:jc w:val="center"/>
            </w:pPr>
            <w:r>
              <w:rPr>
                <w:b/>
                <w:bCs/>
                <w:color w:val="FFFFFF"/>
                <w:sz w:val="18"/>
                <w:szCs w:val="18"/>
              </w:rPr>
              <w:t xml:space="preserve">Mean (win / lose)</w:t>
            </w:r>
          </w:p>
        </w:tc>
        <w:tc>
          <w:tcPr>
            <w:tcW w:type="dxa" w:w="1500"/>
            <w:shd w:fill="1E2761" w:val="clear"/>
            <w:tcMar>
              <w:top w:type="dxa" w:w="100"/>
              <w:left w:type="dxa" w:w="100"/>
              <w:bottom w:type="dxa" w:w="100"/>
              <w:right w:type="dxa" w:w="100"/>
            </w:tcMar>
            <w:vAlign w:val="center"/>
          </w:tcPr>
          <w:p>
            <w:pPr>
              <w:jc w:val="center"/>
            </w:pPr>
            <w:r>
              <w:rPr>
                <w:b/>
                <w:bCs/>
                <w:color w:val="FFFFFF"/>
                <w:sz w:val="18"/>
                <w:szCs w:val="18"/>
              </w:rPr>
              <w:t xml:space="preserve">U statistic</w:t>
            </w:r>
          </w:p>
        </w:tc>
        <w:tc>
          <w:tcPr>
            <w:tcW w:type="dxa" w:w="1300"/>
            <w:shd w:fill="1E2761" w:val="clear"/>
            <w:tcMar>
              <w:top w:type="dxa" w:w="100"/>
              <w:left w:type="dxa" w:w="100"/>
              <w:bottom w:type="dxa" w:w="100"/>
              <w:right w:type="dxa" w:w="100"/>
            </w:tcMar>
            <w:vAlign w:val="center"/>
          </w:tcPr>
          <w:p>
            <w:pPr>
              <w:jc w:val="center"/>
            </w:pPr>
            <w:r>
              <w:rPr>
                <w:b/>
                <w:bCs/>
                <w:color w:val="FFFFFF"/>
                <w:sz w:val="18"/>
                <w:szCs w:val="18"/>
              </w:rPr>
              <w:t xml:space="preserve">p-value</w:t>
            </w:r>
          </w:p>
        </w:tc>
        <w:tc>
          <w:tcPr>
            <w:tcW w:type="dxa" w:w="1100"/>
            <w:shd w:fill="1E2761" w:val="clear"/>
            <w:tcMar>
              <w:top w:type="dxa" w:w="100"/>
              <w:left w:type="dxa" w:w="100"/>
              <w:bottom w:type="dxa" w:w="100"/>
              <w:right w:type="dxa" w:w="100"/>
            </w:tcMar>
            <w:vAlign w:val="center"/>
          </w:tcPr>
          <w:p>
            <w:pPr>
              <w:jc w:val="center"/>
            </w:pPr>
            <w:r>
              <w:rPr>
                <w:b/>
                <w:bCs/>
                <w:color w:val="FFFFFF"/>
                <w:sz w:val="18"/>
                <w:szCs w:val="18"/>
              </w:rPr>
              <w:t xml:space="preserve">Cohen's d</w:t>
            </w:r>
          </w:p>
        </w:tc>
        <w:tc>
          <w:tcPr>
            <w:tcW w:type="dxa" w:w="1200"/>
            <w:shd w:fill="1E2761" w:val="clear"/>
            <w:tcMar>
              <w:top w:type="dxa" w:w="100"/>
              <w:left w:type="dxa" w:w="100"/>
              <w:bottom w:type="dxa" w:w="100"/>
              <w:right w:type="dxa" w:w="100"/>
            </w:tcMar>
            <w:vAlign w:val="center"/>
          </w:tcPr>
          <w:p>
            <w:pPr>
              <w:jc w:val="center"/>
            </w:pPr>
            <w:r>
              <w:rPr>
                <w:b/>
                <w:bCs/>
                <w:color w:val="FFFFFF"/>
                <w:sz w:val="18"/>
                <w:szCs w:val="18"/>
              </w:rPr>
              <w:t xml:space="preserve">Effect</w:t>
            </w:r>
          </w:p>
        </w:tc>
      </w:tr>
      <w:tr>
        <w:tc>
          <w:tcPr>
            <w:tcW w:type="dxa" w:w="1300"/>
            <w:shd w:fill="FFFFFF" w:val="clear"/>
            <w:tcMar>
              <w:top w:type="dxa" w:w="90"/>
              <w:left w:type="dxa" w:w="100"/>
              <w:bottom w:type="dxa" w:w="90"/>
              <w:right w:type="dxa" w:w="100"/>
            </w:tcMar>
            <w:vAlign w:val="center"/>
          </w:tcPr>
          <w:p>
            <w:pPr>
              <w:jc w:val="left"/>
            </w:pPr>
            <w:r>
              <w:rPr>
                <w:b/>
                <w:bCs/>
                <w:color w:val="1E2761"/>
                <w:sz w:val="18"/>
                <w:szCs w:val="18"/>
              </w:rPr>
              <w:t xml:space="preserve">Slope</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38,559 / 38,103</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0.0000 / 0.0000</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0.0001 / −0.0001</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786,400,425</w:t>
            </w:r>
          </w:p>
        </w:tc>
        <w:tc>
          <w:tcPr>
            <w:tcW w:type="dxa" w:w="13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4.10 × 10⁻⁶⁴</w:t>
            </w:r>
          </w:p>
        </w:tc>
        <w:tc>
          <w:tcPr>
            <w:tcW w:type="dxa" w:w="11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0.0091</w:t>
            </w:r>
          </w:p>
        </w:tc>
        <w:tc>
          <w:tcPr>
            <w:tcW w:type="dxa" w:w="12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r>
        <w:tc>
          <w:tcPr>
            <w:tcW w:type="dxa" w:w="1300"/>
            <w:shd w:fill="F7F8FC" w:val="clear"/>
            <w:tcMar>
              <w:top w:type="dxa" w:w="90"/>
              <w:left w:type="dxa" w:w="100"/>
              <w:bottom w:type="dxa" w:w="90"/>
              <w:right w:type="dxa" w:w="100"/>
            </w:tcMar>
            <w:vAlign w:val="center"/>
          </w:tcPr>
          <w:p>
            <w:pPr>
              <w:jc w:val="left"/>
            </w:pPr>
            <w:r>
              <w:rPr>
                <w:b/>
                <w:bCs/>
                <w:color w:val="1E2761"/>
                <w:sz w:val="18"/>
                <w:szCs w:val="18"/>
              </w:rPr>
              <w:t xml:space="preserve">Volatility</w:t>
            </w:r>
          </w:p>
        </w:tc>
        <w:tc>
          <w:tcPr>
            <w:tcW w:type="dxa" w:w="15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38,559 / 38,103</w:t>
            </w:r>
          </w:p>
        </w:tc>
        <w:tc>
          <w:tcPr>
            <w:tcW w:type="dxa" w:w="175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0.2778 / 0.2672</w:t>
            </w:r>
          </w:p>
        </w:tc>
        <w:tc>
          <w:tcPr>
            <w:tcW w:type="dxa" w:w="175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0.2697 / 0.2578</w:t>
            </w:r>
          </w:p>
        </w:tc>
        <w:tc>
          <w:tcPr>
            <w:tcW w:type="dxa" w:w="15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780,225,263</w:t>
            </w:r>
          </w:p>
        </w:tc>
        <w:tc>
          <w:tcPr>
            <w:tcW w:type="dxa" w:w="13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3.80 × 10⁻⁵⁰</w:t>
            </w:r>
          </w:p>
        </w:tc>
        <w:tc>
          <w:tcPr>
            <w:tcW w:type="dxa" w:w="11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0.1159</w:t>
            </w:r>
          </w:p>
        </w:tc>
        <w:tc>
          <w:tcPr>
            <w:tcW w:type="dxa" w:w="1200"/>
            <w:shd w:fill="F7F8FC"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r>
        <w:tc>
          <w:tcPr>
            <w:tcW w:type="dxa" w:w="1300"/>
            <w:shd w:fill="FFFFFF" w:val="clear"/>
            <w:tcMar>
              <w:top w:type="dxa" w:w="90"/>
              <w:left w:type="dxa" w:w="100"/>
              <w:bottom w:type="dxa" w:w="90"/>
              <w:right w:type="dxa" w:w="100"/>
            </w:tcMar>
            <w:vAlign w:val="center"/>
          </w:tcPr>
          <w:p>
            <w:pPr>
              <w:jc w:val="left"/>
            </w:pPr>
            <w:r>
              <w:rPr>
                <w:b/>
                <w:bCs/>
                <w:color w:val="1E2761"/>
                <w:sz w:val="18"/>
                <w:szCs w:val="18"/>
              </w:rPr>
              <w:t xml:space="preserve">Phase delta</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21,065 / 20,160</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0.0412 / 0.0114</w:t>
            </w:r>
          </w:p>
        </w:tc>
        <w:tc>
          <w:tcPr>
            <w:tcW w:type="dxa" w:w="175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0.0420 / 0.0217</w:t>
            </w:r>
          </w:p>
        </w:tc>
        <w:tc>
          <w:tcPr>
            <w:tcW w:type="dxa" w:w="15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223,216,986</w:t>
            </w:r>
          </w:p>
        </w:tc>
        <w:tc>
          <w:tcPr>
            <w:tcW w:type="dxa" w:w="13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2.07 × 10⁻¹⁹</w:t>
            </w:r>
          </w:p>
        </w:tc>
        <w:tc>
          <w:tcPr>
            <w:tcW w:type="dxa" w:w="11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0.0789</w:t>
            </w:r>
          </w:p>
        </w:tc>
        <w:tc>
          <w:tcPr>
            <w:tcW w:type="dxa" w:w="1200"/>
            <w:shd w:fill="FFFFFF" w:val="clear"/>
            <w:tcMar>
              <w:top w:type="dxa" w:w="90"/>
              <w:left w:type="dxa" w:w="100"/>
              <w:bottom w:type="dxa" w:w="90"/>
              <w:right w:type="dxa" w:w="100"/>
            </w:tcMar>
            <w:vAlign w:val="center"/>
          </w:tcPr>
          <w:p>
            <w:pPr>
              <w:jc w:val="center"/>
            </w:pPr>
            <w:r>
              <w:rPr>
                <w:b w:val="false"/>
                <w:bCs w:val="false"/>
                <w:color w:val="1a1a1a"/>
                <w:sz w:val="18"/>
                <w:szCs w:val="18"/>
              </w:rPr>
              <w:t xml:space="preserve">Negligible</w:t>
            </w:r>
          </w:p>
        </w:tc>
      </w:tr>
    </w:tbl>
    <w:p>
      <w:pPr>
        <w:spacing w:after="200"/>
      </w:pPr>
    </w:p>
    <w:p>
      <w:pPr>
        <w:spacing w:after="160"/>
      </w:pPr>
      <w:r>
        <w:t xml:space="preserve">All three p-values are now extremely small (all well under 0.001) — formally significant. However, all three Cohen's d values remain under 0.12, still below the 0.2 small-effect threshold. Unlike the small-scale run, medians are no longer degenerate at 0.0000 — phase delta in particular shows a real, distinct median gap (winners 0.0412 vs. losers 0.0114), reflecting the much richer per-match message volume in this dataset.</w:t>
      </w:r>
    </w:p>
    <w:p>
      <w:pPr>
        <w:pStyle w:val="Heading1"/>
        <w:spacing w:after="160" w:before="320"/>
      </w:pPr>
      <w:r>
        <w:t xml:space="preserve">6. Why the two runs reached different conclusions</w:t>
      </w:r>
    </w:p>
    <w:p>
      <w:pPr>
        <w:spacing w:after="160"/>
      </w:pPr>
      <w:r>
        <w:t xml:space="preserve">The two results are not contradictory — they answer related but distinct questions, and the apparent disagreement is fully explained by sample size.</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pPr>
              <w:spacing w:after="100"/>
            </w:pPr>
            <w:r>
              <w:rPr>
                <w:b/>
                <w:bCs/>
                <w:color w:val="1E2761"/>
                <w:sz w:val="20"/>
                <w:szCs w:val="20"/>
              </w:rPr>
              <w:t xml:space="preserve">In plain terms:</w:t>
            </w:r>
          </w:p>
          <w:p>
            <w:r>
              <w:rPr>
                <w:sz w:val="20"/>
                <w:szCs w:val="20"/>
              </w:rPr>
              <w:t xml:space="preserve">A p-value is sensitive to sample size; Cohen's d mostly is not. With ~68× more data in the full-scale run, the same small underlying difference between winners and losers — which was too subtle for a 1,138-trajectory sample to distinguish from random noise — became statistically detectable. The size of the difference itself barely changed (Cohen's d moved from 0.065 to 0.116 for volatility, for example); what changed is the statistical power available to detect it.</w:t>
            </w:r>
          </w:p>
        </w:tc>
      </w:tr>
    </w:tbl>
    <w:p>
      <w:pPr>
        <w:spacing w:after="200"/>
      </w:pPr>
    </w:p>
    <w:p>
      <w:pPr>
        <w:spacing w:after="160"/>
      </w:pPr>
      <w:r>
        <w:t xml:space="preserve">A useful analogy: a cheap kitchen scale cannot distinguish 500g from 500.1g — the difference is real, but the instrument lacks the precision to register it, so it reads “the same.” A laboratory-grade scale registers that same 0.1g difference clearly. The underlying weight difference did not change; the precision of the measuring instrument did. The small-scale dataset was not wrong — it simply lacked the statistical resolving power to detect an effect this subtle.</w:t>
      </w:r>
    </w:p>
    <w:p>
      <w:pPr>
        <w:spacing w:after="160"/>
      </w:pPr>
      <w:r>
        <w:t xml:space="preserve">One additional methodological refinement was made between the two runs: the early/mid phase boundary was changed from always prioritising the first Roshan kill (regardless of timing) to using whichever of the first Roshan kill or first tower kill actually occurred earlier. This was adopted because Roshan-based boundaries averaged ~27 minutes into the match — implausibly late to represent the end of the early game for a genre where matches average ~41 minutes. This refinement affects phase delta's early-phase window but does not affect slope or volatility, which are computed over the whole match regardless of phase boundaries.</w:t>
      </w:r>
    </w:p>
    <w:p>
      <w:pPr>
        <w:pStyle w:val="Heading1"/>
        <w:spacing w:after="160" w:before="320"/>
      </w:pPr>
      <w:r>
        <w:t xml:space="preserve">7. Combined interpretation</w:t>
      </w:r>
    </w:p>
    <w:p>
      <w:pPr>
        <w:spacing w:after="160"/>
      </w:pPr>
      <w:r>
        <w:t xml:space="preserve">Read together, the two runs support a single, coherent conclusion: winning and losing teams' sentiment trajectories are genuinely, measurably different — this is no longer simply “no effect found.” However, the practical size of that difference is small. A Cohen's d below 0.12 means the two distributions overlap substantially; knowing a team's slope, volatility, or phase delta would provide only marginal predictive information about whether that team won.</w:t>
      </w:r>
    </w:p>
    <w:p>
      <w:pPr>
        <w:spacing w:after="160"/>
      </w:pPr>
      <w:r>
        <w:t xml:space="preserve">This is a stronger and more nuanced finding than either result alone would suggest: it demonstrates both that a real relationship exists (contradicting a simple null conclusion) and that aggregate trajectory shape is not a strong outcome predictor in practical terms (contradicting an overclaimed “we found the effect” framing). This directly motivates RQ2's shift toward localised, event-driven analysis rather than aggregate trajectory shape.</w:t>
      </w:r>
    </w:p>
    <w:p>
      <w:pPr>
        <w:pStyle w:val="Heading1"/>
        <w:spacing w:after="160" w:before="320"/>
      </w:pPr>
      <w:r>
        <w:t xml:space="preserve">8. Ready-to-adapt text for the write-up</w:t>
      </w:r>
    </w:p>
    <w:p>
      <w:pPr>
        <w:pStyle w:val="Heading2"/>
        <w:spacing w:after="120" w:before="240"/>
      </w:pPr>
      <w:r>
        <w:t xml:space="preserve">8.1 Short version</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r>
              <w:rPr>
                <w:i/>
                <w:iCs/>
                <w:sz w:val="20"/>
                <w:szCs w:val="20"/>
              </w:rPr>
              <w:t xml:space="preserve">“At small scale (n ≈ 1,138 team-trajectories), no significant differences were detected between winning and losing teams on any trajectory feature (all p &gt; 0.13, |d| &lt; 0.07). At full scale (n ≈ 77,620), all three features reached statistical significance (all p &lt; 0.001), but effect sizes remained negligible-to-small (Cohen's d: 0.009–0.116). This indicates a real but practically minor relationship between team sentiment trajectories and match outcome — detectable with sufficient data, but not a strong predictor in practical terms.”</w:t>
            </w:r>
          </w:p>
        </w:tc>
      </w:tr>
    </w:tbl>
    <w:p>
      <w:pPr>
        <w:spacing w:after="200"/>
      </w:pPr>
    </w:p>
    <w:p>
      <w:pPr>
        <w:pStyle w:val="Heading2"/>
        <w:spacing w:after="120" w:before="240"/>
      </w:pPr>
      <w:r>
        <w:t xml:space="preserve">8.2 Longer version, with the robustness check included</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r>
              <w:rPr>
                <w:i/>
                <w:iCs/>
                <w:sz w:val="20"/>
                <w:szCs w:val="20"/>
              </w:rPr>
              <w:t xml:space="preserve">“An initial analysis on 609 matches (1,138 team-trajectories) found no significant difference between winning and losing teams on sentiment slope, volatility, or phase delta (all p &gt; 0.13; Cohen's d ranging from −0.007 to 0.065). A sensitivity analysis restricting the sample to teams with progressively higher message counts (up to ≥20 messages) confirmed this null result was not an artifact of data sparsity, with effect sizes remaining below the small-effect threshold (|d| &lt; 0.2) throughout. Following adoption of a substantially larger dataset (38,810 matches; 77,620 team-trajectories), the same analysis was repeated. All three features reached statistical significance (p &lt; 0.001 in all cases), while effect sizes remained negligible-to-small (Cohen's d: 0.009 for slope, 0.116 for volatility, 0.079 for phase delta). Together, these results indicate that team-level sentiment trajectories differ measurably by match outcome, but the magnitude of this difference is small, suggesting that aggregate trajectory shape alone is not a strong predictor of match outcome even where statistically detectable.”</w:t>
            </w:r>
          </w:p>
        </w:tc>
      </w:tr>
    </w:tbl>
    <w:p>
      <w:pPr>
        <w:pStyle w:val="Heading1"/>
        <w:spacing w:after="160" w:before="320"/>
      </w:pPr>
      <w:r>
        <w:t xml:space="preserve">9. Notes and caveats for the write-up</w:t>
      </w:r>
    </w:p>
    <w:p>
      <w:pPr>
        <w:pStyle w:val="ListParagraph"/>
        <w:numPr>
          <w:ilvl w:val="0"/>
          <w:numId w:val="1"/>
        </w:numPr>
        <w:spacing w:after="80"/>
      </w:pPr>
      <w:r>
        <w:t xml:space="preserve">The full-scale dataset is from November 2015 (~11 years old at time of writing) — worth an explicit limitations note given hero pool, itemisation, and meta have changed substantially since. The small-scale dataset is contemporary (2026).</w:t>
      </w:r>
    </w:p>
    <w:p>
      <w:pPr>
        <w:pStyle w:val="ListParagraph"/>
        <w:numPr>
          <w:ilvl w:val="0"/>
          <w:numId w:val="1"/>
        </w:numPr>
        <w:spacing w:after="80"/>
      </w:pPr>
      <w:r>
        <w:t xml:space="preserve">The two datasets are not directly comparable at the individual-match level — the full-scale dataset's match_id values are internal to that export and cannot be cross-referenced against the small-scale OpenDota-collected matches.</w:t>
      </w:r>
    </w:p>
    <w:p>
      <w:pPr>
        <w:pStyle w:val="ListParagraph"/>
        <w:numPr>
          <w:ilvl w:val="0"/>
          <w:numId w:val="1"/>
        </w:numPr>
        <w:spacing w:after="80"/>
      </w:pPr>
      <w:r>
        <w:t xml:space="preserve">“Negligible” as an effect-size label below d = 0.2 is a convention adopted for this project, not a term from Cohen (1988) itself — worth defining explicitly on first use in the thesis.</w:t>
      </w:r>
    </w:p>
    <w:p>
      <w:pPr>
        <w:pStyle w:val="ListParagraph"/>
        <w:numPr>
          <w:ilvl w:val="0"/>
          <w:numId w:val="1"/>
        </w:numPr>
        <w:spacing w:after="80"/>
      </w:pPr>
      <w:r>
        <w:t xml:space="preserve">Consider explicitly reporting both the small-scale and full-scale results side by side in the results chapter, framed as a small-to-large-scale replication check, rather than only reporting the full-scale numbers — this demonstrates methodological rigour and pre-empts a reviewer asking “why does effect size not track sample size the way p-value does.”</w:t>
      </w:r>
    </w:p>
    <w:p>
      <w:pPr>
        <w:pStyle w:val="ListParagraph"/>
        <w:numPr>
          <w:ilvl w:val="0"/>
          <w:numId w:val="1"/>
        </w:numPr>
        <w:spacing w:after="80"/>
      </w:pPr>
      <w:r>
        <w:t xml:space="preserve">The phase-boundary refinement (Roshan-priority → earliest-of-Roshan-or-tower) should be documented as a deliberate, data-justified methodological decision in the methodology chapter, with the ~27-minute vs ~11-minute boundary timing comparison cited as supporting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2026-08-19T08:05:53.388Z</dcterms:created>
  <dcterms:modified xsi:type="dcterms:W3CDTF">2026-08-19T08:05:53.408Z</dcterms:modified>
</cp:coreProperties>
</file>

<file path=docProps/custom.xml><?xml version="1.0" encoding="utf-8"?>
<Properties xmlns="http://schemas.openxmlformats.org/officeDocument/2006/custom-properties" xmlns:vt="http://schemas.openxmlformats.org/officeDocument/2006/docPropsVTypes"/>
</file>