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INVESTIS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Wissensbasis · Modul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Fundamentalkennzahlen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Modul: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 von 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Inhalt: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Bewertung · Profitabilität · Wachstum · Bilanz · Cashflow · Aktionärsrendite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Voraussetzung: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Modul 1: Candlestick-Analyse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Beispiel-Aktie: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Siemens Energy AG (ENR.DE) — durchgehend als Referenz verwendet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Erstellt: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Juni 2026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Einleitung: Warum Fundamentalkennzahlen?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Kurse schwanken täglich — Fundamentaldaten verändern sich langsamer. Wer die Kennzahlen eines Unternehmens kennt, kann beurteilen, ob ein Kursrückgang eine Kaufgelegenheit oder ein begründetes Warnsignal ist.</w:t>
      </w:r>
    </w:p>
    <w:p>
      <w:pPr>
        <w:spacing w:after="60" w:before="80"/>
      </w:pPr>
      <w:r>
        <w:rPr>
          <w:rFonts w:ascii="Arial" w:cs="Arial" w:eastAsia="Arial" w:hAnsi="Arial"/>
        </w:rPr>
        <w:t xml:space="preserve">Fundamentalanalyse beantwortet drei Kernfragen: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Ist die Aktie fair bewertet, günstig oder teuer?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Ist das Unternehmen profitabel und wächst es nachhaltig?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Wie gesund ist die Bilanz — könnte das Unternehmen in eine Krise geraten?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Grundsatz: </w:t>
            </w: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Fundamentalkennzahlen zeigen NIEMALS allein die Wahrheit. Sie müssen immer im Kontext gelesen werden: Vergleich zum Sektor, zur Unternehmenshistorie und zur Wachstumsrate.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Ein KGV von 30 ist für NVIDIA (hohes Wachstum) günstig — für einen Versorger mit 2% Wachstum ist es extrem teuer.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  Bewertungskennzahlen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Bewertungskennzahlen vergleichen den Börsenkurs mit einer fundamentalen Größe des Unternehmens. Sie zeigen, wie viel Anleger bereit sind, für einen Euro Gewinn, Umsatz, Buchwert oder Cashflow zu bezahlen.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KGV — Kurs-Gewinn-Verhältnis (P/E Ratio)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KGV = Aktienkurs ÷ Gewinn je Aktie (EPS)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Bedeutung: </w:t>
      </w:r>
      <w:r>
        <w:rPr>
          <w:rFonts w:ascii="Arial" w:cs="Arial" w:eastAsia="Arial" w:hAnsi="Arial"/>
        </w:rPr>
        <w:t xml:space="preserve">Das KGV gibt an, wie viele Jahresgewinne du beim aktuellen Kurs bezahlst. KGV 20 bedeutet: Du zahlst das 20-fache des Jahresgewinns.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 verwenden?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KGV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Basis: letzter veröffentlichter Jahresgewinn (ist)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Vergangenheitsvergleich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KGV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Basis: Analystenprognose nächstes Jahr (erwartet)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Bewertung von Wachstumsunternehmen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Normalisiertes KGV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Basis: Durchschnittsgewinn über 5–10 Jahre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Zykliker, volatile Branchen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Shiller-KGV (CAPE)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Basis: inflationsbereinigter 10-J.-Gewinn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Gesamtmarktbewertung (USA)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Beispiel ENR: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Trailing KGV ~61 (wegen niedriger historischer Gewinne). Forward KGV ~32,5 auf Basis 2026e-Gewinn von ~5,00 €/Aktie bei Kurs 162 €. Für ein Unternehmen mit +82% Gewinnwachstum YoY ist das forward KGV vertretbar.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Faustregel: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KGV &lt; 15 = tendenziell günstig (abhängig von Sektor). KGV &gt; 30 = Wachstumspremium oder Überbewertung.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Falle: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Ein niedriges KGV kann ein Zeichen von Problemen sein (Value Trap). Immer prüfen WARUM ein KGV niedrig ist.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PEG-Ratio — Wachstumsbereinigtes KGV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PEG = KGV ÷ Gewinnwachstumsrate (%)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Der PEG-Ratio setzt das KGV in Relation zur Wachstumsrate und macht damit Wachstumsunternehmen verschiedener Dynamik vergleichbar.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PEG-Wert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PEG &lt;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Unterbewertet relativ zum Wachstum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KGV 20, Wachstum 25% → PEG 0,8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PEG =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 bewertet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KGV 25, Wachstum 25% → PEG 1,0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PEG &gt;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— prüfen ob gerechtfertigt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KGV 30, Wachstum 20% → PEG 1,5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PEG &gt; 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Deutliches Überbewertungssignal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KGV 50, Wachstum 20% → PEG 2,5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Beispiel ENR: 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Forward KGV 32,5, Gewinnwachstum 2026e +82% YoY → PEG ~0,40. Dieser Wert ist außergewöhnlich niedrig und signalisiert starke Unterbewertung relativ zum Wachstum. Hinweis: PEG funktioniert am besten bei stabilen, mittelfristigen Wachstumsraten — ein einmaliger Gewinnsprung (nach Verlustsanierung) kann den PEG verzerren.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KUV — Kurs-Umsatz-Verhältnis (P/S Ratio)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KUV = Marktkapitalisierung ÷ Jahresumsatz  (oder: Aktienkurs ÷ Umsatz je Aktie)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Das KUV ist besonders nützlich bei Unternehmen ohne Gewinn (Wachstumsphasen, Turnarounds) oder für Branchenvergleiche, da der Umsatz schwerer manipulierbar ist als der Gewinn.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Sektor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Typisches KUV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/ SaaS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8–20x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Hohe Margen rechtfertigen hohen KUV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Technologie (allgemein)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4–10x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nach Marge variabel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Industrie / Maschinenbau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0,5–2x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Niedrige Margen → niedriger KUV normal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Einzelhandel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0,2–0,8x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Sehr niedrige Margen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 / Biotech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3–15x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Abhängig von Pipeline-Wert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 (Industriekonzern)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~3,7x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Über Industrieschnitt, aber Energiewende-Premium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KBV — Kurs-Buchwert-Verhältnis (P/B Ratio)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KBV = Aktienkurs ÷ Buchwert je Aktie  (Buchwert = Eigenkapital ÷ Aktienanzahl)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Das KBV vergleicht den Marktpreis mit dem bilanziellen Eigenkapital (Substanzwert). KBV &lt; 1 kann Unterbewertung signalisieren, kann aber auch auf strukturelle Probleme hinweisen.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KBV-Bereich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Typischer Kontext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KBV &lt; 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 unter Buchwert (potenziell günstig)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Banken, Versicherer, Rohstoffwerte in Krisen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KBV 1–3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Normale Bewertung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Industrie, zyklische Konsumgüter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KBV 3–8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für Qualitätsunternehmen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Konsumgüter-Marken, Pharmaunternehmen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KBV &gt; 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Sehr hoher Goodwill / immaterielle Werte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Software, Plattformen (Apple KBV ~50!)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Achtung Buchwert: </w:t>
            </w: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Der Buchwert sagt wenig bei Unternehmen mit hohem geistigem Eigentum (Marken, Patente, Software). Microsoft oder Coca-Cola haben extrem hohe KBVs — nicht weil sie teuer sind, sondern weil ihr Wert aus immateriellen Vermögenswerten besteht, die bilanziell nicht erfasst werden.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KCV — Kurs-Cashflow-Verhältnis (P/CF Ratio)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KCV = Aktienkurs ÷ Free Cashflow je Aktie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Das KCV gilt als robuster als das KGV, da der Cashflow schwerer zu manipulieren ist als der Buchgewinn. Abschreibungen, Rückstellungen und Bilanzierungswahlrechte beeinflussen den Gewinn, nicht aber den tatsächlichen Geldfluss.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 aktuell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 Ø 5 Jahre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Einordnung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KCV (Free Cashflow)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18,79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9,78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Über Schnitt — Premium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 Yield (1/KCV)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~10,2%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Rendite gesunken durch Kursanstieg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EV/EBITDA — Enterprise Value / Betriebsgewinn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EV/EBITDA = (Marktkapitalisierung + Nettoverschuldung) ÷ EBITDA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EV/EBITDA ist die bevorzugte Bewertungskennzahl von M&amp;A-Experten und Private-Equity-Investoren, da sie kapitalstruktur-neutral ist: Zwei Unternehmen mit gleichem EBITDA, aber unterschiedlicher Verschuldung werden korrekt verglichen.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Faustregel: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EV/EBITDA &lt; 8 = günstig; 8–15 = normal; &gt; 15 = teuer oder hohes Wachstum.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Vorteil gegenüber KGV: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Eliminiert Verzerrungen durch unterschiedliche Steuerbelastungen, Abschreibungsstrategien und Kapitalstrukturen — besonders wichtig für internationale Vergleiche.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  Profitabilitätskennzahlen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Profitabilitätskennzahlen messen, wie effizient ein Unternehmen Umsatz in Gewinn verwandelt und wie gut es eingesetztes Kapital verzinst. Sie zeigen den qualitativen Unterschied zwischen Unternehmen im selben Sektor.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Margen: Bruttomargin, EBIT-Marge, Nettomarge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6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misst sie?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 (GJ2026e)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Bruttomargin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Bruttogewinn ÷ Umsatz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Produktionskosteneffizienz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~25% (Ziel)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EBIT-Marge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 ÷ Umsatz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Operative Profitabilität vor Zinsen/Steuern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10–12% (Ziel)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EBITDA-Marge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÷ Umsatz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Cashgenerierung ohne Abschreibungen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~14% (Ziel)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Nettomarge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Nettogewinn ÷ Umsatz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am Ende tatsächlich übrig bleibt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~9% (Ziel)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Margin Expansion: 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ENR hat die EBIT-Marge von ~3% (GJ2023) auf das Ziel von 10–12% (GJ2026) massiv ausgebaut. Dieser Trend der 'Margin Expansion' ist ein starkes Qualitätssignal — das Unternehmen lernt, seine Skalenvorteile zu nutzen.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Wichtiger als der absolute Wert: der Trend. Steigende Margen zeigen operative Verbesserung. Fallende Margen sind ein Frühwarnsignal.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ROE — Eigenkapitalrendite &amp; DuPont-Analyse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ROE = Nettogewinn ÷ Eigenkapital × 100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Der ROE misst, wie effizient das Eigenkapital der Aktionäre eingesetzt wird. Ein hoher ROE ist grundsätzlich gut — aber man muss verstehen, WARUM er hoch ist.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ROE-Quelle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Hohe Nettomarge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Echte operative Stärke — sehr positiv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Apple: ROE ~160% durch extrem hohe Marge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Hoher Asset Turnover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Effiziente Kapitalnutzung — positiv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Einzelhandel: viel Umsatz je € Vermögen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Hoher Leverage (Verschuldung)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ROE durch Schulden aufgeblasen — Warnsignal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Oracle: hohe Verschuldung treibt ROE künstlich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Vergleich Microsoft vs. Oracle: </w:t>
            </w: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Beide haben sehr hohe ROEs (~40%). Microsoft erreicht das durch echte Marge (~35% Nettomarge). Oracle durch einen Equity Multiplier von ~15 — das Unternehmen ist hoch verschuldet. Nur die DuPont-Analyse deckt diesen Unterschied auf.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ROIC — Return on Invested Capital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ROIC = NOPAT ÷ investiertes Kapital × 100  (NOPAT = Betriebsgewinn nach Steuern)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ROIC ist die anspruchsvollste Rentabilitätskennzahl. Er misst, wie viel Rendite ein Unternehmen auf das gesamte eingesetzte Kapital erzielt (Eigenkapital + verzinsliche Verbindlichkeiten) — unabhängig von der Finanzierungsstruktur.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ROIC vs. WACC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Strategische Bedeutung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ROIC &gt; WACC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Unternehmen schafft Wert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Jeder investierte Euro erzeugt Mehrwert → Wachstum ist gut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ROIC = WACC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Investitionen sind neutral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 Wert geschaffen, kein Wert vernichtet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ROIC &lt; WACC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Kapitalvernichtung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Wachstum vernichtet Aktionärswert — Warnsignal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WACC: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Weighted Average Cost of Capital = gewichteter Kapitalkostensatz. Er gibt an, wie viel ein Unternehmen mindestens auf sein eingesetztes Kapital verdienen muss, um Eigenkapitalkosten (Renditeerwartung der Aktionäre) und Fremdkapitalkosten (Zinsen) zu decken. Typisch: 7–12% je nach Sektor und Risiko.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  Wachstumskennzahlen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Wachstumskennzahlen messen die Dynamik des Unternehmens. Für viele Wachstumsinvestoren sind diese Zahlen entscheidender als aktuelle Bewertungen — die These: Ein schnell wachsendes Unternehmen wird ein heute hohes KGV 'herauswachsen'.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Umsatzwachstum (Revenue Growth)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 2026e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YoY-Wachstum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Vergleich zum Vorjahresquartal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+14–16% organisch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Organisches Wachstum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Wachstum ohne Akquisitionen und Währungseffekte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+17% Q2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CAGR (5 Jahre)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Jährliche Wachstumsrate über 5 Jahre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Stark (aus Tiefpunkt)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Auftragseingang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Indikator für zukünftigen Umsatz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+29,5% (Q2 YoY)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Auftragsbestand/Backlog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Sichtbarkeit künftiger Erlöse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154 Mrd. € (Rekord)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Backlog Coverage: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Besonders wertvoll bei Industriekonzernen: ENR hat ~93% seines H2-2026-Umsatzes bereits durch Aufträge gedeckt, H1-2027 zu ~80%. Diese Kennzahl gibt Investoren ungewöhnlich hohe Ertragssicherheit weit im Voraus.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EPS-Wachstum (Gewinn je Aktie)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EPS = Nettogewinn ÷ Anzahl ausstehender Aktien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EPS-Wachstum ist die wichtigste Treibergröße für Kurssteigerungen langfristig. Wer in ein Unternehmen investiert, kauft einen Anteil am zukünftigen Gewinnstrom.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EPS-Aspekt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Warnsignal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EPS-Wachstum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Treiber für Kurssteigerungen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 sinkt bei steigendem Kurs → KGV-Expansion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Verwässerung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Neue Aktien senken EPS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Aktienanzahl wächst schneller als Gewinn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Rückkäufe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Weniger Aktien → EPS steigt ohne Gewinnwachstum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Rückkäufe finanziert über Schulden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Adjustiertes 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Einmaleffekte herausgerechnet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Vorsicht bei zu vielen 'Einmaleffekten' jedes Jahr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ENR EPS-Prognose 2026: 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Konsensschätzung ~5,00 € EPS bei Kurs 162 € → KGV 32,5. Aktienrückkaufprogramm (3 Mrd. € in 2026) reduziert Aktienanzahl und erhöht EPS zusätzlich — 'double benefit' für Aktionäre.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  Bilanzkennzahlen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Die Bilanz ist der 'Gesundheitscheck' eines Unternehmens. Selbst fundamentell starke Unternehmen können scheitern, wenn die Bilanzstruktur nicht passt — wie Siemens Gamesa 2022/23 eindrucksvoll gezeigt hat.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Eigenkapitalquote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EK-Quote = Eigenkapital ÷ Bilanzsumme × 100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EK-Quote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Typischer Bereich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&gt; 50%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Sehr solide Finanzierung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Qualitätsunternehmen ohne Zyklus-Risiko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30–50%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für Industrieunternehmen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Industrie, Technologie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15–30%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Erhöhter Fremdkapitalanteil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Banken, Versorger (strukturell hoch)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&lt; 15%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Kritisch bei Konjunkturabschwächung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 akzeptabel bei stabilen Cashflows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Verschuldung: Net Debt / EBITDA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Nettoverschuldung = Finanzschulden − flüssige Mittel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Bewertung: </w:t>
      </w:r>
      <w:r>
        <w:rPr>
          <w:rFonts w:ascii="Arial" w:cs="Arial" w:eastAsia="Arial" w:hAnsi="Arial"/>
        </w:rPr>
        <w:t xml:space="preserve">Net Debt / EBITDA zeigt, in wie vielen Jahren das Unternehmen bei aktuellem Gewinn seine Schulden tilgen könnte.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Debt / EBITDA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&lt; 1x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Sehr konservativ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Krisenfest, für Akquisitionen gut aufgestellt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1–2x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Gesund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für Qualitätsunternehmen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2–3x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Erhöht, aber managebar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Investitionsintensive Branchen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&gt; 4x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Warnsignal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Zinslast kann Gewinn auffressen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Liquidität: Current Ratio &amp; Quick Ratio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500"/>
        <w:gridCol w:w="23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Richtwert</w:t>
            </w:r>
          </w:p>
        </w:tc>
        <w:tc>
          <w:tcPr>
            <w:tcW w:type="dxa" w:w="23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Umlaufvermögen ÷ kurzfr. Verbindl.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1,5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Kann kurzfristige Schulden bedienen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Ratio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(Umlaufvermögen − Vorräte) ÷ kurzfr. Verbindl.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1,0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Strengerer Test ohne Vorräte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Ratio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Kassenbestand ÷ kurzfr. Verbindl.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0,5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Sofortige Liquidität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Praxistipp: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Bilanzkennzahlen aus dem Halbjahresbericht herauslesen, nicht aus News-Zusammenfassungen. Quellen: Investor-Relations-Seite des Unternehmens, eulerpool.com oder aktienfinder.net für historische Vergleiche.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  Cashflow-Kennzahlen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</w:rPr>
        <w:t xml:space="preserve">Der Cashflow ist das Herzstück jeder Fundamentalanalyse. Der Gewinn (EPS) kann durch Bilanzierungswahlrechte beeinflusst werden — der Cashflow zeigt, wie viel Geld das Unternehmen tatsächlich generiert.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Die drei Cashflow-Arten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3200"/>
        <w:gridCol w:w="2626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Cashflow-Art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Abk.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zeigt er?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 wenn...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Operativer Cashflow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Geldfluss aus dem laufenden Geschäft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OCF &gt; Jahresgewinn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Cashflow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OCF minus Investitionsausgaben (CapEx)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 konsistent positiv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Cashflow to Equity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nach Schuldentilgung für Aktionäre bleibt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FCFE wächst mit Gewinn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Free Cashflow Yield (FCF-Rendite)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FCF Yield = Free Cashflow je Aktie ÷ Aktienkurs × 100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Die FCF-Rendite ist das Cashflow-Äquivalent der Dividendenrendite — sie zeigt, wie viel 'echtes Geld' du je investiertem Euro erhältst. Viele Value-Investoren bevorzugen diese Kennzahl gegenüber dem KGV.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FCF Yield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&gt; 8%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Attraktiv — starke Cashgenerierung im Verhältnis zur Bewertung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4–8%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für Qualitätsunternehmen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2–4%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Premium-Bewertung — Wachstumserwartung eingepreist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&lt; 2%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Teuer — hohe Wachstumserwartungen nötig zur Rechtfertigung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ENR FCF Yield: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Bei FCF von ~2 Mrd. € (H1 2026) und Marktkapitalisierung ~140 Mrd. € liegt die annualisierte FCF Yield bei ~2,9% — Premium-Bereich, reflektiert Wachstumserwartungen. Historisch lag ENR bei ~10% FCF Yield (2023), was den Kursanstieg mit erklärte.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  Aktionärsrendite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Die Gesamtrendite für Aktionäre setzt sich zusammen aus Kurssteigerungen, Dividenden und Aktienrückkäufen. Besonders Rückkaufprogramme werden von vielen Investoren unterschätzt.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Dividende &amp; Dividendenrendite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 / Beschreibung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Dividendenrendite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 je Aktie ÷ Aktienkurs × 100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Laufende Ertragskomponente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 Ratio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 ÷ EPS × 100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60% = nachhaltig; &gt; 80% = riskant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Dividendenwachstum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Jährliches Wachstum der Dividende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Aristokraten: 25+ Jahre steigende Dividende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Dividendenabstand FCF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 ÷ Dividendenausschüttung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1,5x = gut gedeckt durch echten Cashflow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Aktienrückkäufe (Share Buybacks)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Aktienrückkäufe reduzieren die Anzahl ausstehender Aktien. Bei gleichbleibendem Gewinn steigt dadurch automatisch der Gewinn je Aktie (EPS) — ohne dass das Unternehmen operativ besser wird.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Rechenbeispiel: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ENR kauft für 3 Mrd. € Aktien zurück (ca. 2% des Streubesitzes). Bei ~180 Mio. ausstehenden Aktien und ~5 € EPS: Durch Rückkäufe steigt EPS auf ~5,10 € (+2%). Über 5 Jahre Programm (6 Mrd. €): Kumulierter EPS-Boost ~4–5%.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Wichtige Frage: 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Werden Rückkäufe aus dem operativen Cashflow finanziert (gut) oder aus neuen Schulden (kritisch prüfen)? ENR finanziert über operativen FCF — positiv.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Total Shareholder Return (TSR)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</w:rPr>
        <w:t xml:space="preserve">Formel: </w:t>
      </w:r>
      <w:r>
        <w:rPr>
          <w:rFonts w:ascii="Arial" w:cs="Arial" w:eastAsia="Arial" w:hAnsi="Arial"/>
        </w:rPr>
        <w:t xml:space="preserve">TSR = (Kurssteigerung + Dividenden + Rückkaufrendite) ÷ Anfangskurs × 100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Renditekomponente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 2026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Kurspotenzial (Analyst Ø)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+17%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Basis: 186 € Kursziel vs. 162 € Kurs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Dividendenrendite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+0,7%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Gering — ENR bevorzugt Rückkäufe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Rückkaufrendite (2026)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+~2,1%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Mrd. € / 140 Mrd. Marktkapitalisierung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TSR Gesamt (Prognose)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~+20%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Wenn Kursziel erreicht wird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  Quellen &amp; Anwendung im investis-System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Wo findet man die Kennzahlen?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Stärke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Anmerkung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aktienfinder.net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Historische Kennzahlen, Dividendenhistorie, Bewertungsampel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aktienfinder.net — deutsch, sehr übersichtlich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eulerpool.com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Sehr tiefe Datenbasis, internationale Vergleiche, DCF-Rechner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eulerpool.com — beste Datenqualität EU-Aktien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macrotrends.net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Historische Daten bis 20+ Jahre, grafisch aufbereitet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macrotrends.net — primär US-Aktien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finanzen.net / onvista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Schnellübersicht, Nachrichten, Analystenschätzungen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Für schnelle Einschätzung, nicht für tiefe Analyse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Relations (IR)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Primärquelle: Geschäftsberichte, Präsentationen, Kapitalmarkttage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ir.siemens-energy.com (Beispiel ENR)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FMP API (investis)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Automatische Daten für US-Aktien (/stable/ Endpoint)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 Dashboard bereits integriert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Europäische Aktien, News-Feed, Schätzungen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 Dashboard als Fallback integriert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Kennzahlen-Checkliste vor jeder Investition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 prüfen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Ampel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Bewertung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KGV (trailing &amp; forward), PEG, KCV im Sektorvergleich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 / Gelb / Rot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Profitabilität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EBIT-Marge und Trend, ROE (DuPont-Check!), ROIC vs. WACC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 / Gelb / Rot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Wachstum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Umsatz- &amp; EPS-Wachstum 3–5 Jahre, Backlog/Auftragseingang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 / Gelb / Rot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Bilanz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EK-Quote, Net Debt/EBITDA, Zinsdeckungsgrad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 / Gelb / Rot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Cashflow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 positiv? FCF Yield, OCF vs. Gewinn (Manipulation?)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 / Gelb / Rot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Aktionärsrendite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Dividenden-Payout nachhaltig? Rückkäufe aus FCF finanziert?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 / Gelb / Rot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Qualitatives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Managementqualität, Competitive Moat, ESG-Risiken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Subjektiv bewerten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Häufige Fehler bei der Fundamentalanalyse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43C0C" w:sz="4"/>
              <w:left w:val="single" w:color="843C0C" w:sz="4"/>
              <w:bottom w:val="single" w:color="843C0C" w:sz="4"/>
              <w:right w:val="single" w:color="843C0C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Fehler 1: </w:t>
            </w: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KGV isoliert betrachten — immer im Sektorvergleich und im Verhältnis zum Wachstum (PEG) bewerten.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Fehler 2: </w:t>
            </w: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Hohen ROE als Qualitätssignal werten, ohne DuPont-Analyse. Hohe Verschuldung kann ROE künstlich aufblasen (Oracle-Beispiel).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Fehler 3: </w:t>
            </w: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Gewinn mit Cashflow gleichsetzen. Immer prüfen: Ist der FCF annähernd so hoch wie der ausgewiesene Gewinn? Große Abweichungen sind ein Warnsignal.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Fehler 4: </w:t>
            </w: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Stichtagsdaten als Trend interpretieren. Eine Kennzahl sagt wenig — der Trend über 3–5 Jahre sagt viel.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Fehler 5: </w:t>
            </w: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Bewertungskennzahlen ohne Kontext verwenden. Ein KGV von 8 bei einem schrumpfenden Versorger ist nicht günstiger als ein KGV von 30 bei ENR mit 82% Gewinnwachstum.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  Zusammenfassung: Alle Kennzahlen auf einen 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200"/>
        <w:gridCol w:w="1800"/>
        <w:gridCol w:w="15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Abk.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 (vereinfacht)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Richtwert</w:t>
            </w:r>
          </w:p>
        </w:tc>
        <w:tc>
          <w:tcPr>
            <w:tcW w:type="dxa" w:w="1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 (Juni 2026)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Kurs-Gewinn-Verhältnis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 ÷ EPS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10–25 (Industrie)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32,5 fw.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PEG-Ratio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KGV ÷ Wachstum%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= günstig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~0,40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Kurs-Umsatz-Verhältnis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Marktk. ÷ Umsatz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0,5–3 (Industrie)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~3,7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Kurs-Buchwert-Verhältnis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 ÷ Buchwert/Aktie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Bitte ergänzen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Kurs-Cashflow-Verhältnis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 ÷ FCF/Aktie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18,79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EV/EBITDA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 ÷ EBITDA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8–15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Bitte ergänzen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EBIT-Marge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 ÷ Umsatz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10%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10–12% (Ziel)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Nettogewinn ÷ EK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15%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Bitte ergänzen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NOPAT ÷ inv. Kapital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WACC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Bitte ergänzen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Debt / EBITDA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Nettoverschuldung ÷ EBITDA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2x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Bitte ergänzen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 Yield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FCF/Aktie ÷ Kurs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4%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~2,9% (ann.)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Dividendenrendite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Dividende ÷ Kurs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Sektorbez.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~0,7%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Umsatzwachstum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YoY % Veränderung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5% p.a.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+14–16% (GJ2026e)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EPS-Wachstum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YoY % Veränderung EPS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10% p.a.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+82% (GJ2026e)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Nächstes Modul: Technische Indikatoren (Modul 3)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RSI, MACD, Bollinger Bands, Moving Averages, Volume-Analyse — wie diese Indikatoren Kauf- und Verkaufssignale generieren und wie sie mit der Fundamentalanalyse kombiniert werden.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BDD7EE" w:sz="4" w:space="4"/>
        </w:pBdr>
        <w:spacing w:before="12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investis Wissensbasis · Modul 2: Fundamentalkennzahlen · Juni 2026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investis · Wissensbasis Modul 2 · Fundamentalkennzahlen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afdeee216b0b6a84ca057f66ea5fd279bafac11.png"/><Relationship Id="rId9" Type="http://schemas.openxmlformats.org/officeDocument/2006/relationships/image" Target="media/74fd439d5928b78fba61cc231431c5878fcd91a2.png"/><Relationship Id="rId10" Type="http://schemas.openxmlformats.org/officeDocument/2006/relationships/image" Target="media/25e007be9242c58a92ae57277dcc201280ef1ee4.png"/><Relationship Id="rId11" Type="http://schemas.openxmlformats.org/officeDocument/2006/relationships/image" Target="media/20c98f27fd0d3bfa0fcd2bd0e0c66a88f1563841.png"/><Relationship Id="rId12" Type="http://schemas.openxmlformats.org/officeDocument/2006/relationships/image" Target="media/8e13fa2193496be46b2f967287fa6dd93e7e81d9.png"/><Relationship Id="rId13" Type="http://schemas.openxmlformats.org/officeDocument/2006/relationships/image" Target="media/aa004b352194da0aa64d0c65ce64616b2d9e63c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2026-06-08T19:38:49.541Z</dcterms:created>
  <dcterms:modified xsi:type="dcterms:W3CDTF">2026-06-08T19:38:49.552Z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