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00"/>
        <w:jc w:val="center"/>
      </w:pPr>
      <w:r>
        <w:rPr>
          <w:rFonts w:ascii="Arial" w:cs="Arial" w:eastAsia="Arial" w:hAnsi="Arial"/>
          <w:b/>
          <w:bCs/>
          <w:color w:val="1F3864"/>
          <w:sz w:val="60"/>
          <w:szCs w:val="60"/>
        </w:rPr>
        <w:t xml:space="preserve">INVESTIS</w:t>
      </w:r>
    </w:p>
    <w:p>
      <w:pPr>
        <w:spacing w:after="80" w:before="0"/>
        <w:jc w:val="center"/>
      </w:pPr>
      <w:r>
        <w:rPr>
          <w:rFonts w:ascii="Arial" w:cs="Arial" w:eastAsia="Arial" w:hAnsi="Arial"/>
          <w:i/>
          <w:iCs/>
          <w:color w:val="2E75B6"/>
          <w:sz w:val="30"/>
          <w:szCs w:val="30"/>
        </w:rPr>
        <w:t xml:space="preserve">Wissensbasis · Modul 3</w:t>
      </w:r>
    </w:p>
    <w:p>
      <w:pPr>
        <w:spacing w:after="200" w:before="0"/>
        <w:jc w:val="center"/>
      </w:pPr>
      <w:r>
        <w:rPr>
          <w:rFonts w:ascii="Arial" w:cs="Arial" w:eastAsia="Arial" w:hAnsi="Arial"/>
          <w:b/>
          <w:bCs/>
          <w:color w:val="1F3864"/>
          <w:sz w:val="40"/>
          <w:szCs w:val="40"/>
        </w:rPr>
        <w:t xml:space="preserve">Technische Indikatoren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D5E8F0" w:val="clear"/>
            <w:tcMar>
              <w:top w:type="dxa" w:w="120"/>
              <w:left w:type="dxa" w:w="180"/>
              <w:bottom w:type="dxa" w:w="120"/>
              <w:right w:type="dxa" w:w="180"/>
            </w:tcMar>
          </w:tcPr>
          <w:p>
            <w:pPr>
              <w:spacing w:after="60" w:before="60"/>
            </w:pPr>
            <w:r>
              <w:rPr>
                <w:rFonts w:ascii="Arial" w:cs="Arial" w:eastAsia="Arial" w:hAnsi="Arial"/>
                <w:b/>
                <w:bCs/>
                <w:color w:val="1F3864"/>
                <w:sz w:val="20"/>
                <w:szCs w:val="20"/>
              </w:rPr>
              <w:t xml:space="preserve">Modul: </w:t>
            </w:r>
            <w:r>
              <w:rPr>
                <w:rFonts w:ascii="Arial" w:cs="Arial" w:eastAsia="Arial" w:hAnsi="Arial"/>
                <w:b w:val="false"/>
                <w:bCs w:val="false"/>
                <w:color w:val="1F3864"/>
                <w:sz w:val="20"/>
                <w:szCs w:val="20"/>
              </w:rPr>
              <w:t xml:space="preserve">3 von 6</w:t>
            </w:r>
          </w:p>
          <w:p>
            <w:pPr>
              <w:spacing w:after="60" w:before="60"/>
            </w:pPr>
            <w:r>
              <w:rPr>
                <w:rFonts w:ascii="Arial" w:cs="Arial" w:eastAsia="Arial" w:hAnsi="Arial"/>
                <w:b/>
                <w:bCs/>
                <w:color w:val="1F3864"/>
                <w:sz w:val="20"/>
                <w:szCs w:val="20"/>
              </w:rPr>
              <w:t xml:space="preserve">Inhalt: </w:t>
            </w:r>
            <w:r>
              <w:rPr>
                <w:rFonts w:ascii="Arial" w:cs="Arial" w:eastAsia="Arial" w:hAnsi="Arial"/>
                <w:b w:val="false"/>
                <w:bCs w:val="false"/>
                <w:color w:val="1F3864"/>
                <w:sz w:val="20"/>
                <w:szCs w:val="20"/>
              </w:rPr>
              <w:t xml:space="preserve">RSI · MACD · Bollinger Bands · Gleitende Durchschnitte · ADX · Stochastik · Volumen</w:t>
            </w:r>
          </w:p>
          <w:p>
            <w:pPr>
              <w:spacing w:after="60" w:before="60"/>
            </w:pPr>
            <w:r>
              <w:rPr>
                <w:rFonts w:ascii="Arial" w:cs="Arial" w:eastAsia="Arial" w:hAnsi="Arial"/>
                <w:b/>
                <w:bCs/>
                <w:color w:val="1F3864"/>
                <w:sz w:val="20"/>
                <w:szCs w:val="20"/>
              </w:rPr>
              <w:t xml:space="preserve">Voraussetzung: </w:t>
            </w:r>
            <w:r>
              <w:rPr>
                <w:rFonts w:ascii="Arial" w:cs="Arial" w:eastAsia="Arial" w:hAnsi="Arial"/>
                <w:b w:val="false"/>
                <w:bCs w:val="false"/>
                <w:color w:val="1F3864"/>
                <w:sz w:val="20"/>
                <w:szCs w:val="20"/>
              </w:rPr>
              <w:t xml:space="preserve">Modul 1: Candlestick-Analyse, Modul 2: Fundamentalkennzahlen</w:t>
            </w:r>
          </w:p>
          <w:p>
            <w:pPr>
              <w:spacing w:after="60" w:before="60"/>
            </w:pPr>
            <w:r>
              <w:rPr>
                <w:rFonts w:ascii="Arial" w:cs="Arial" w:eastAsia="Arial" w:hAnsi="Arial"/>
                <w:b/>
                <w:bCs/>
                <w:color w:val="1F3864"/>
                <w:sz w:val="20"/>
                <w:szCs w:val="20"/>
              </w:rPr>
              <w:t xml:space="preserve">Beispiel-Aktie: </w:t>
            </w:r>
            <w:r>
              <w:rPr>
                <w:rFonts w:ascii="Arial" w:cs="Arial" w:eastAsia="Arial" w:hAnsi="Arial"/>
                <w:b w:val="false"/>
                <w:bCs w:val="false"/>
                <w:color w:val="1F3864"/>
                <w:sz w:val="20"/>
                <w:szCs w:val="20"/>
              </w:rPr>
              <w:t xml:space="preserve">Siemens Energy AG (ENR.DE) — durchgehend als Referenz</w:t>
            </w:r>
          </w:p>
          <w:p>
            <w:pPr>
              <w:spacing w:after="60" w:before="60"/>
            </w:pPr>
            <w:r>
              <w:rPr>
                <w:rFonts w:ascii="Arial" w:cs="Arial" w:eastAsia="Arial" w:hAnsi="Arial"/>
                <w:b/>
                <w:bCs/>
                <w:color w:val="1F3864"/>
                <w:sz w:val="20"/>
                <w:szCs w:val="20"/>
              </w:rPr>
              <w:t xml:space="preserve">Erstellt: </w:t>
            </w:r>
            <w:r>
              <w:rPr>
                <w:rFonts w:ascii="Arial" w:cs="Arial" w:eastAsia="Arial" w:hAnsi="Arial"/>
                <w:b w:val="false"/>
                <w:bCs w:val="false"/>
                <w:color w:val="1F3864"/>
                <w:sz w:val="20"/>
                <w:szCs w:val="20"/>
              </w:rPr>
              <w:t xml:space="preserve">Juni 2026</w:t>
            </w:r>
          </w:p>
        </w:tc>
      </w:tr>
    </w:tbl>
    <w:p>
      <w:pPr>
        <w:spacing w:after="110" w:before="0"/>
      </w:pPr>
      <w:r>
        <w:rPr>
          <w:rFonts w:ascii="Arial" w:cs="Arial" w:eastAsia="Arial" w:hAnsi="Arial"/>
        </w:rPr>
        <w:t xml:space="preserve"/>
      </w:r>
    </w:p>
    <w:p>
      <w:pPr>
        <w:spacing w:after="110" w:before="0"/>
      </w:pPr>
      <w:r>
        <w:rPr>
          <w:rFonts w:ascii="Arial" w:cs="Arial" w:eastAsia="Arial" w:hAnsi="Arial"/>
        </w:rPr>
        <w:t xml:space="preserve"/>
      </w:r>
    </w:p>
    <w:p>
      <w:pPr>
        <w:spacing w:after="120" w:before="120"/>
        <w:jc w:val="center"/>
      </w:pPr>
      <w:r>
        <w:drawing>
          <wp:inline distT="0" distB="0" distL="0" distR="0">
            <wp:extent cx="5715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809875"/>
                    </a:xfrm>
                    <a:prstGeom prst="rect">
                      <a:avLst/>
                    </a:prstGeom>
                  </pic:spPr>
                </pic:pic>
              </a:graphicData>
            </a:graphic>
          </wp:inline>
        </w:drawing>
      </w:r>
    </w:p>
    <w:p>
      <w:pPr>
        <w:pageBreakBefore/>
      </w:pPr>
      <w:r>
        <w:br/>
      </w:r>
    </w:p>
    <w:p>
      <w:pPr>
        <w:pStyle w:val="Heading1"/>
        <w:pBdr>
          <w:bottom w:val="single" w:color="2E75B6" w:sz="8" w:space="4"/>
        </w:pBdr>
        <w:spacing w:after="200" w:before="360"/>
      </w:pPr>
      <w:r>
        <w:rPr>
          <w:rFonts w:ascii="Arial" w:cs="Arial" w:eastAsia="Arial" w:hAnsi="Arial"/>
          <w:b/>
          <w:bCs/>
          <w:color w:val="1F3864"/>
          <w:sz w:val="34"/>
          <w:szCs w:val="34"/>
        </w:rPr>
        <w:t xml:space="preserve">Einleitung: Technische Indikatoren im Überblick</w:t>
      </w:r>
    </w:p>
    <w:p>
      <w:pPr>
        <w:spacing w:after="80" w:before="80"/>
      </w:pPr>
      <w:r>
        <w:rPr>
          <w:rFonts w:ascii="Arial" w:cs="Arial" w:eastAsia="Arial" w:hAnsi="Arial"/>
        </w:rPr>
        <w:t xml:space="preserve">Während Fundamentalkennzahlen zeigen, OB eine Aktie kaufenswert ist, helfen technische Indikatoren dabei zu beurteilen, WANN der richtige Zeitpunkt für einen Einstieg oder Ausstieg ist. Sie analysieren vergangene Kursbewegungen, Volumendaten und Preismuster, um Signale für die Zukunft zu generieren.</w:t>
      </w:r>
    </w:p>
    <w:p>
      <w:pPr>
        <w:spacing w:after="110" w:before="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226"/>
      </w:tblGrid>
      <w:t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Indikator-Klasse</w:t>
            </w:r>
          </w:p>
        </w:tc>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Was misst sie?</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Typische Indikatoren</w:t>
            </w:r>
          </w:p>
        </w:tc>
        <w:tc>
          <w:tcPr>
            <w:tcW w:type="dxa" w:w="2226"/>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Geeignet für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Trend-Indikatoren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Richtung und Stärke eines Trends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SMA, EMA, MACD, ADX</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Trendfolge-Strategien</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Momentum-Indikatoren</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Geschwindigkeit der Kursbewegung</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RSI, Stochastik, CCI</w:t>
            </w:r>
          </w:p>
        </w:tc>
        <w:tc>
          <w:tcPr>
            <w:tcW w:type="dxa" w:w="22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Einstiegs-Timing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Volatilitäts-Indikatoren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Schwankungsbreite des Kurses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Bollinger Bands, ATR</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Stop-Loss, Positionsgröße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Volumen-Indikatoren</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Bestätigung von Kursbewegungen</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OBV, Volume, MFI</w:t>
            </w:r>
          </w:p>
        </w:tc>
        <w:tc>
          <w:tcPr>
            <w:tcW w:type="dxa" w:w="22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Ausbruchs-Bestätigung</w:t>
            </w:r>
          </w:p>
        </w:tc>
      </w:tr>
    </w:tbl>
    <w:p>
      <w:pPr>
        <w:spacing w:after="110" w:before="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FFF2CC" w:val="clear"/>
            <w:tcMar>
              <w:top w:type="dxa" w:w="120"/>
              <w:left w:type="dxa" w:w="180"/>
              <w:bottom w:type="dxa" w:w="120"/>
              <w:right w:type="dxa" w:w="180"/>
            </w:tcMar>
          </w:tcPr>
          <w:p>
            <w:pPr>
              <w:spacing w:after="60" w:before="60"/>
            </w:pPr>
            <w:r>
              <w:rPr>
                <w:rFonts w:ascii="Arial" w:cs="Arial" w:eastAsia="Arial" w:hAnsi="Arial"/>
                <w:b/>
                <w:bCs/>
                <w:color w:val="7F6000"/>
                <w:sz w:val="20"/>
                <w:szCs w:val="20"/>
              </w:rPr>
              <w:t xml:space="preserve">Grundregel: </w:t>
            </w:r>
            <w:r>
              <w:rPr>
                <w:rFonts w:ascii="Arial" w:cs="Arial" w:eastAsia="Arial" w:hAnsi="Arial"/>
                <w:b w:val="false"/>
                <w:bCs w:val="false"/>
                <w:color w:val="7F6000"/>
                <w:sz w:val="20"/>
                <w:szCs w:val="20"/>
              </w:rPr>
              <w:t xml:space="preserve">Technische Indikatoren sind keine Glaskugeln. Sie zeigen Wahrscheinlichkeiten, keine Gewissheiten. Der wichtigste Grundsatz: Niemals auf einen einzelnen Indikator allein verlassen — Konfluenz (mehrere Indikatoren zeigen dasselbe Signal) erhöht die Trefferquote erheblich.</w:t>
            </w:r>
          </w:p>
          <w:p>
            <w:pPr>
              <w:spacing w:after="60" w:before="60"/>
            </w:pPr>
            <w:r>
              <w:rPr>
                <w:rFonts w:ascii="Arial" w:cs="Arial" w:eastAsia="Arial" w:hAnsi="Arial"/>
                <w:b w:val="false"/>
                <w:bCs w:val="false"/>
                <w:color w:val="7F6000"/>
                <w:sz w:val="20"/>
                <w:szCs w:val="20"/>
              </w:rPr>
              <w:t xml:space="preserve">Kombination mit Fundamentalanalyse (Modul 2): Fundamental stark + technisch günstig = höchste Überzeugung.</w:t>
            </w:r>
          </w:p>
        </w:tc>
      </w:tr>
    </w:tbl>
    <w:p>
      <w:pPr>
        <w:pageBreakBefore/>
      </w:pPr>
      <w:r>
        <w:br/>
      </w:r>
    </w:p>
    <w:p>
      <w:pPr>
        <w:pStyle w:val="Heading1"/>
        <w:pBdr>
          <w:bottom w:val="single" w:color="2E75B6" w:sz="8" w:space="4"/>
        </w:pBdr>
        <w:spacing w:after="200" w:before="360"/>
      </w:pPr>
      <w:r>
        <w:rPr>
          <w:rFonts w:ascii="Arial" w:cs="Arial" w:eastAsia="Arial" w:hAnsi="Arial"/>
          <w:b/>
          <w:bCs/>
          <w:color w:val="1F3864"/>
          <w:sz w:val="34"/>
          <w:szCs w:val="34"/>
        </w:rPr>
        <w:t xml:space="preserve">1  RSI — Relative Strength Index</w:t>
      </w:r>
    </w:p>
    <w:p>
      <w:pPr>
        <w:spacing w:after="120" w:before="120"/>
        <w:jc w:val="center"/>
      </w:pPr>
      <w:r>
        <w:drawing>
          <wp:inline distT="0" distB="0" distL="0" distR="0">
            <wp:extent cx="5524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286000"/>
                    </a:xfrm>
                    <a:prstGeom prst="rect">
                      <a:avLst/>
                    </a:prstGeom>
                  </pic:spPr>
                </pic:pic>
              </a:graphicData>
            </a:graphic>
          </wp:inline>
        </w:drawing>
      </w:r>
    </w:p>
    <w:p>
      <w:pPr>
        <w:spacing w:after="110" w:before="0"/>
      </w:pPr>
      <w:r>
        <w:rPr>
          <w:rFonts w:ascii="Arial" w:cs="Arial" w:eastAsia="Arial" w:hAnsi="Arial"/>
        </w:rPr>
        <w:t xml:space="preserve"/>
      </w:r>
    </w:p>
    <w:p>
      <w:pPr>
        <w:spacing w:after="60" w:before="60"/>
      </w:pPr>
      <w:r>
        <w:rPr>
          <w:rFonts w:ascii="Arial" w:cs="Arial" w:eastAsia="Arial" w:hAnsi="Arial"/>
          <w:b/>
          <w:bCs/>
          <w:color w:val="1F3864"/>
        </w:rPr>
        <w:t xml:space="preserve">Entwickler: </w:t>
      </w:r>
      <w:r>
        <w:rPr>
          <w:rFonts w:ascii="Arial" w:cs="Arial" w:eastAsia="Arial" w:hAnsi="Arial"/>
        </w:rPr>
        <w:t xml:space="preserve">J. Welles Wilder (1978)  ·  </w:t>
      </w:r>
      <w:r>
        <w:rPr>
          <w:rFonts w:ascii="Arial" w:cs="Arial" w:eastAsia="Arial" w:hAnsi="Arial"/>
          <w:b/>
          <w:bCs/>
          <w:color w:val="1F3864"/>
        </w:rPr>
        <w:t xml:space="preserve">Standardeinstellung: </w:t>
      </w:r>
      <w:r>
        <w:rPr>
          <w:rFonts w:ascii="Arial" w:cs="Arial" w:eastAsia="Arial" w:hAnsi="Arial"/>
        </w:rPr>
        <w:t xml:space="preserve">14 Perioden</w:t>
      </w:r>
    </w:p>
    <w:p>
      <w:pPr>
        <w:spacing w:after="60" w:before="60"/>
      </w:pPr>
      <w:r>
        <w:rPr>
          <w:rFonts w:ascii="Arial" w:cs="Arial" w:eastAsia="Arial" w:hAnsi="Arial"/>
          <w:b/>
          <w:bCs/>
          <w:color w:val="1F3864"/>
        </w:rPr>
        <w:t xml:space="preserve">Formel: </w:t>
      </w:r>
      <w:r>
        <w:rPr>
          <w:rFonts w:ascii="Arial" w:cs="Arial" w:eastAsia="Arial" w:hAnsi="Arial"/>
        </w:rPr>
        <w:t xml:space="preserve">RSI = 100 − (100 ÷ (1 + RS))  ·  RS = Ø Kursgewinne der letzten 14 Tage ÷ Ø Kursverluste</w:t>
      </w:r>
    </w:p>
    <w:p>
      <w:pPr>
        <w:spacing w:after="110" w:before="0"/>
      </w:pPr>
      <w:r>
        <w:rPr>
          <w:rFonts w:ascii="Arial" w:cs="Arial" w:eastAsia="Arial" w:hAnsi="Arial"/>
        </w:rPr>
        <w:t xml:space="preserve"/>
      </w:r>
    </w:p>
    <w:p>
      <w:pPr>
        <w:pStyle w:val="Heading2"/>
        <w:spacing w:after="120" w:before="260"/>
      </w:pPr>
      <w:r>
        <w:rPr>
          <w:rFonts w:ascii="Arial" w:cs="Arial" w:eastAsia="Arial" w:hAnsi="Arial"/>
          <w:b/>
          <w:bCs/>
          <w:color w:val="2E75B6"/>
          <w:sz w:val="26"/>
          <w:szCs w:val="26"/>
        </w:rPr>
        <w:t xml:space="preserve">1.1  Die drei Zonen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000"/>
        <w:gridCol w:w="2426"/>
      </w:tblGrid>
      <w:tr>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Zone</w:t>
            </w:r>
          </w:p>
        </w:tc>
        <w:tc>
          <w:tcPr>
            <w:tcW w:type="dxa" w:w="1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RSI-Bereich</w:t>
            </w:r>
          </w:p>
        </w:tc>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Bedeutung</w:t>
            </w:r>
          </w:p>
        </w:tc>
        <w:tc>
          <w:tcPr>
            <w:tcW w:type="dxa" w:w="2426"/>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Handlungssignal</w:t>
            </w:r>
          </w:p>
        </w:tc>
      </w:tr>
      <w:tr>
        <w:tc>
          <w:tcPr>
            <w:tcW w:type="dxa" w:w="20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60" w:before="60"/>
              <w:jc w:val="left"/>
            </w:pPr>
            <w:r>
              <w:rPr>
                <w:rFonts w:ascii="Arial" w:cs="Arial" w:eastAsia="Arial" w:hAnsi="Arial"/>
                <w:b/>
                <w:bCs/>
                <w:color w:val="843C0C"/>
                <w:sz w:val="20"/>
                <w:szCs w:val="20"/>
              </w:rPr>
              <w:t xml:space="preserve">Überkauft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RSI 70–100</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Kurs ist stark gestiegen, Korrektur möglich</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Verkauf / Gewinnsicherung prüfen</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595959"/>
                <w:sz w:val="20"/>
                <w:szCs w:val="20"/>
              </w:rPr>
              <w:t xml:space="preserve">Neutral</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RSI 30–70</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Kein extremes Signal</w:t>
            </w:r>
          </w:p>
        </w:tc>
        <w:tc>
          <w:tcPr>
            <w:tcW w:type="dxa" w:w="24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Richtung des Trends beachten</w:t>
            </w:r>
          </w:p>
        </w:tc>
      </w:tr>
      <w:tr>
        <w:tc>
          <w:tcPr>
            <w:tcW w:type="dxa" w:w="20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60" w:before="60"/>
              <w:jc w:val="left"/>
            </w:pPr>
            <w:r>
              <w:rPr>
                <w:rFonts w:ascii="Arial" w:cs="Arial" w:eastAsia="Arial" w:hAnsi="Arial"/>
                <w:b/>
                <w:bCs/>
                <w:color w:val="375623"/>
                <w:sz w:val="20"/>
                <w:szCs w:val="20"/>
              </w:rPr>
              <w:t xml:space="preserve">Überverkauft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RSI 0–30</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Kurs ist stark gefallen, Erholung möglich</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Einstieg / Kauf prüfen</w:t>
            </w:r>
          </w:p>
        </w:tc>
      </w:tr>
    </w:tbl>
    <w:p>
      <w:pPr>
        <w:spacing w:after="110" w:before="0"/>
      </w:pPr>
      <w:r>
        <w:rPr>
          <w:rFonts w:ascii="Arial" w:cs="Arial" w:eastAsia="Arial" w:hAnsi="Arial"/>
        </w:rPr>
        <w:t xml:space="preserve"/>
      </w:r>
    </w:p>
    <w:p>
      <w:pPr>
        <w:pStyle w:val="Heading2"/>
        <w:spacing w:after="120" w:before="260"/>
      </w:pPr>
      <w:r>
        <w:rPr>
          <w:rFonts w:ascii="Arial" w:cs="Arial" w:eastAsia="Arial" w:hAnsi="Arial"/>
          <w:b/>
          <w:bCs/>
          <w:color w:val="2E75B6"/>
          <w:sz w:val="26"/>
          <w:szCs w:val="26"/>
        </w:rPr>
        <w:t xml:space="preserve">1.2  RSI-Signale im Detail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426"/>
      </w:tblGrid>
      <w:tr>
        <w:tc>
          <w:tcPr>
            <w:tcW w:type="dxa" w:w="2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Signal</w:t>
            </w:r>
          </w:p>
        </w:tc>
        <w:tc>
          <w:tcPr>
            <w:tcW w:type="dxa" w:w="4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Beschreibung</w:t>
            </w:r>
          </w:p>
        </w:tc>
        <w:tc>
          <w:tcPr>
            <w:tcW w:type="dxa" w:w="2426"/>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Zuverlässigkeit</w:t>
            </w:r>
          </w:p>
        </w:tc>
      </w:tr>
      <w:tr>
        <w:tc>
          <w:tcPr>
            <w:tcW w:type="dxa" w:w="2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60" w:before="60"/>
              <w:jc w:val="left"/>
            </w:pPr>
            <w:r>
              <w:rPr>
                <w:rFonts w:ascii="Arial" w:cs="Arial" w:eastAsia="Arial" w:hAnsi="Arial"/>
                <w:b w:val="false"/>
                <w:bCs w:val="false"/>
                <w:color w:val="375623"/>
                <w:sz w:val="20"/>
                <w:szCs w:val="20"/>
              </w:rPr>
              <w:t xml:space="preserve">Überverkauft → neutral (Kaufsignal)</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RSI steigt von unter 30 wieder über 30 — Trendwende nach unten erschöpft</w:t>
            </w:r>
          </w:p>
        </w:tc>
        <w:tc>
          <w:tcPr>
            <w:tcW w:type="dxa" w:w="2426"/>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60" w:before="60"/>
              <w:jc w:val="center"/>
            </w:pPr>
            <w:r>
              <w:rPr>
                <w:rFonts w:ascii="Arial" w:cs="Arial" w:eastAsia="Arial" w:hAnsi="Arial"/>
                <w:b w:val="false"/>
                <w:bCs w:val="false"/>
                <w:color w:val="375623"/>
                <w:sz w:val="20"/>
                <w:szCs w:val="20"/>
              </w:rPr>
              <w:t xml:space="preserve">★★★★☆  Hoch in Seitwärtsmärkten</w:t>
            </w:r>
          </w:p>
        </w:tc>
      </w:tr>
      <w:tr>
        <w:tc>
          <w:tcPr>
            <w:tcW w:type="dxa" w:w="2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60" w:before="60"/>
              <w:jc w:val="left"/>
            </w:pPr>
            <w:r>
              <w:rPr>
                <w:rFonts w:ascii="Arial" w:cs="Arial" w:eastAsia="Arial" w:hAnsi="Arial"/>
                <w:b w:val="false"/>
                <w:bCs w:val="false"/>
                <w:color w:val="843C0C"/>
                <w:sz w:val="20"/>
                <w:szCs w:val="20"/>
              </w:rPr>
              <w:t xml:space="preserve">Überkauft → neutral (Verkaufssignal)</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RSI fällt von über 70 wieder unter 70 — Aufwärtsmomentum nachlässt</w:t>
            </w:r>
          </w:p>
        </w:tc>
        <w:tc>
          <w:tcPr>
            <w:tcW w:type="dxa" w:w="2426"/>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60" w:before="60"/>
              <w:jc w:val="center"/>
            </w:pPr>
            <w:r>
              <w:rPr>
                <w:rFonts w:ascii="Arial" w:cs="Arial" w:eastAsia="Arial" w:hAnsi="Arial"/>
                <w:b w:val="false"/>
                <w:bCs w:val="false"/>
                <w:color w:val="843C0C"/>
                <w:sz w:val="20"/>
                <w:szCs w:val="20"/>
              </w:rPr>
              <w:t xml:space="preserve">★★★★☆  Hoch in Seitwärtsmärkten</w:t>
            </w:r>
          </w:p>
        </w:tc>
      </w:tr>
      <w:tr>
        <w:tc>
          <w:tcPr>
            <w:tcW w:type="dxa" w:w="26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60" w:before="60"/>
              <w:jc w:val="left"/>
            </w:pPr>
            <w:r>
              <w:rPr>
                <w:rFonts w:ascii="Arial" w:cs="Arial" w:eastAsia="Arial" w:hAnsi="Arial"/>
                <w:b w:val="false"/>
                <w:bCs w:val="false"/>
                <w:color w:val="1F3864"/>
                <w:sz w:val="20"/>
                <w:szCs w:val="20"/>
              </w:rPr>
              <w:t xml:space="preserve">Bullische Divergenz</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Kurs macht neues Tief, RSI aber NICHT — versteckte Stärke</w:t>
            </w:r>
          </w:p>
        </w:tc>
        <w:tc>
          <w:tcPr>
            <w:tcW w:type="dxa" w:w="2426"/>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60" w:before="60"/>
              <w:jc w:val="center"/>
            </w:pPr>
            <w:r>
              <w:rPr>
                <w:rFonts w:ascii="Arial" w:cs="Arial" w:eastAsia="Arial" w:hAnsi="Arial"/>
                <w:b w:val="false"/>
                <w:bCs w:val="false"/>
                <w:color w:val="375623"/>
                <w:sz w:val="20"/>
                <w:szCs w:val="20"/>
              </w:rPr>
              <w:t xml:space="preserve">★★★★★  Sehr zuverlässig</w:t>
            </w:r>
          </w:p>
        </w:tc>
      </w:tr>
      <w:tr>
        <w:tc>
          <w:tcPr>
            <w:tcW w:type="dxa" w:w="26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60" w:before="60"/>
              <w:jc w:val="left"/>
            </w:pPr>
            <w:r>
              <w:rPr>
                <w:rFonts w:ascii="Arial" w:cs="Arial" w:eastAsia="Arial" w:hAnsi="Arial"/>
                <w:b w:val="false"/>
                <w:bCs w:val="false"/>
                <w:color w:val="7F6000"/>
                <w:sz w:val="20"/>
                <w:szCs w:val="20"/>
              </w:rPr>
              <w:t xml:space="preserve">Bärische Divergenz</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Kurs macht neues Hoch, RSI aber NICHT — versteckte Schwäche</w:t>
            </w:r>
          </w:p>
        </w:tc>
        <w:tc>
          <w:tcPr>
            <w:tcW w:type="dxa" w:w="2426"/>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60" w:before="60"/>
              <w:jc w:val="center"/>
            </w:pPr>
            <w:r>
              <w:rPr>
                <w:rFonts w:ascii="Arial" w:cs="Arial" w:eastAsia="Arial" w:hAnsi="Arial"/>
                <w:b w:val="false"/>
                <w:bCs w:val="false"/>
                <w:color w:val="375623"/>
                <w:sz w:val="20"/>
                <w:szCs w:val="20"/>
              </w:rPr>
              <w:t xml:space="preserve">★★★★★  Sehr zuverlässig</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595959"/>
                <w:sz w:val="20"/>
                <w:szCs w:val="20"/>
              </w:rPr>
              <w:t xml:space="preserve">RSI 50 als Trendfilter</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RSI &gt; 50: Aufwärtstrend. RSI &lt; 50: Abwärtstrend</w:t>
            </w:r>
          </w:p>
        </w:tc>
        <w:tc>
          <w:tcPr>
            <w:tcW w:type="dxa" w:w="2426"/>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60" w:before="60"/>
              <w:jc w:val="center"/>
            </w:pPr>
            <w:r>
              <w:rPr>
                <w:rFonts w:ascii="Arial" w:cs="Arial" w:eastAsia="Arial" w:hAnsi="Arial"/>
                <w:b w:val="false"/>
                <w:bCs w:val="false"/>
                <w:color w:val="7F6000"/>
                <w:sz w:val="20"/>
                <w:szCs w:val="20"/>
              </w:rPr>
              <w:t xml:space="preserve">★★★☆☆  Als Kontext nützlich</w:t>
            </w:r>
          </w:p>
        </w:tc>
      </w:tr>
    </w:tbl>
    <w:p>
      <w:pPr>
        <w:spacing w:after="110" w:before="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D5E8F0" w:val="clear"/>
            <w:tcMar>
              <w:top w:type="dxa" w:w="120"/>
              <w:left w:type="dxa" w:w="180"/>
              <w:bottom w:type="dxa" w:w="120"/>
              <w:right w:type="dxa" w:w="180"/>
            </w:tcMar>
          </w:tcPr>
          <w:p>
            <w:pPr>
              <w:spacing w:after="60" w:before="60"/>
            </w:pPr>
            <w:r>
              <w:rPr>
                <w:rFonts w:ascii="Arial" w:cs="Arial" w:eastAsia="Arial" w:hAnsi="Arial"/>
                <w:b/>
                <w:bCs/>
                <w:color w:val="1F3864"/>
                <w:sz w:val="20"/>
                <w:szCs w:val="20"/>
              </w:rPr>
              <w:t xml:space="preserve">Achtung in starken Trends: </w:t>
            </w:r>
            <w:r>
              <w:rPr>
                <w:rFonts w:ascii="Arial" w:cs="Arial" w:eastAsia="Arial" w:hAnsi="Arial"/>
                <w:b w:val="false"/>
                <w:bCs w:val="false"/>
                <w:color w:val="1F3864"/>
                <w:sz w:val="20"/>
                <w:szCs w:val="20"/>
              </w:rPr>
              <w:t xml:space="preserve">In einem starken Aufwärtstrend kann der RSI wochenlang über 70 bleiben, ohne dass es zur Korrektur kommt. Wer in solchen Phasen zu früh verkauft, verpasst große Gewinne. Der RSI-Signal allein reicht nicht — immer den übergeordneten Trend prüfen.</w:t>
            </w:r>
          </w:p>
          <w:p>
            <w:pPr>
              <w:spacing w:after="60" w:before="60"/>
            </w:pPr>
            <w:r>
              <w:rPr>
                <w:rFonts w:ascii="Arial" w:cs="Arial" w:eastAsia="Arial" w:hAnsi="Arial"/>
                <w:b/>
                <w:bCs/>
                <w:color w:val="1F3864"/>
                <w:sz w:val="20"/>
                <w:szCs w:val="20"/>
              </w:rPr>
              <w:t xml:space="preserve">ENR aktuell (Juni 2026): </w:t>
            </w:r>
            <w:r>
              <w:rPr>
                <w:rFonts w:ascii="Arial" w:cs="Arial" w:eastAsia="Arial" w:hAnsi="Arial"/>
                <w:b w:val="false"/>
                <w:bCs w:val="false"/>
                <w:color w:val="1F3864"/>
                <w:sz w:val="20"/>
                <w:szCs w:val="20"/>
              </w:rPr>
              <w:t xml:space="preserve">RSI(14) ~42 — unter 50, aber nicht überverkauft. Signalisiert: Korrekturphase, kein Kaufdruck, aber auch keine Panikzone. Erst ein Anstieg über 50 würde neues Momentum anzeigen.</w:t>
            </w:r>
          </w:p>
        </w:tc>
      </w:tr>
    </w:tbl>
    <w:p>
      <w:pPr>
        <w:spacing w:after="110" w:before="0"/>
      </w:pPr>
      <w:r>
        <w:rPr>
          <w:rFonts w:ascii="Arial" w:cs="Arial" w:eastAsia="Arial" w:hAnsi="Arial"/>
        </w:rPr>
        <w:t xml:space="preserve"/>
      </w:r>
    </w:p>
    <w:p>
      <w:pPr>
        <w:pStyle w:val="Heading2"/>
        <w:spacing w:after="120" w:before="260"/>
      </w:pPr>
      <w:r>
        <w:rPr>
          <w:rFonts w:ascii="Arial" w:cs="Arial" w:eastAsia="Arial" w:hAnsi="Arial"/>
          <w:b/>
          <w:bCs/>
          <w:color w:val="2E75B6"/>
          <w:sz w:val="26"/>
          <w:szCs w:val="26"/>
        </w:rPr>
        <w:t xml:space="preserve">1.3  Praktische Anwendung in TradingView</w:t>
      </w:r>
    </w:p>
    <w:p>
      <w:pPr>
        <w:pStyle w:val="ListParagraph"/>
        <w:numPr>
          <w:ilvl w:val="0"/>
          <w:numId w:val="2"/>
        </w:numPr>
        <w:spacing w:after="40" w:before="40"/>
      </w:pPr>
      <w:r>
        <w:rPr>
          <w:rFonts w:ascii="Arial" w:cs="Arial" w:eastAsia="Arial" w:hAnsi="Arial"/>
          <w:b/>
          <w:bCs/>
          <w:sz w:val="20"/>
          <w:szCs w:val="20"/>
        </w:rPr>
        <w:t xml:space="preserve">Indikator hinzufügen: 'RSI' suchen → 'Relative Strength Index' von TradingView</w:t>
      </w:r>
    </w:p>
    <w:p>
      <w:pPr>
        <w:pStyle w:val="ListParagraph"/>
        <w:numPr>
          <w:ilvl w:val="0"/>
          <w:numId w:val="2"/>
        </w:numPr>
        <w:spacing w:after="40" w:before="40"/>
      </w:pPr>
      <w:r>
        <w:rPr>
          <w:rFonts w:ascii="Arial" w:cs="Arial" w:eastAsia="Arial" w:hAnsi="Arial"/>
          <w:b w:val="false"/>
          <w:bCs w:val="false"/>
          <w:sz w:val="20"/>
          <w:szCs w:val="20"/>
        </w:rPr>
        <w:t xml:space="preserve">Einstellungen: Länge 14, Overbought 70, Oversold 30 (Standard)</w:t>
      </w:r>
    </w:p>
    <w:p>
      <w:pPr>
        <w:pStyle w:val="ListParagraph"/>
        <w:numPr>
          <w:ilvl w:val="0"/>
          <w:numId w:val="2"/>
        </w:numPr>
        <w:spacing w:after="40" w:before="40"/>
      </w:pPr>
      <w:r>
        <w:rPr>
          <w:rFonts w:ascii="Arial" w:cs="Arial" w:eastAsia="Arial" w:hAnsi="Arial"/>
          <w:b w:val="false"/>
          <w:bCs w:val="false"/>
          <w:sz w:val="20"/>
          <w:szCs w:val="20"/>
        </w:rPr>
        <w:t xml:space="preserve">Für kurzfristigere Signale: RSI(9) oder RSI(7) — mehr Fehlsignale, aber frühere Reaktion</w:t>
      </w:r>
    </w:p>
    <w:p>
      <w:pPr>
        <w:pStyle w:val="ListParagraph"/>
        <w:numPr>
          <w:ilvl w:val="0"/>
          <w:numId w:val="2"/>
        </w:numPr>
        <w:spacing w:after="40" w:before="40"/>
      </w:pPr>
      <w:r>
        <w:rPr>
          <w:rFonts w:ascii="Arial" w:cs="Arial" w:eastAsia="Arial" w:hAnsi="Arial"/>
          <w:b w:val="false"/>
          <w:bCs w:val="false"/>
          <w:sz w:val="20"/>
          <w:szCs w:val="20"/>
        </w:rPr>
        <w:t xml:space="preserve">Für langfristige Wochencharts: RSI(14) bleibt Standard, Oversold oft erst bei 40</w:t>
      </w:r>
    </w:p>
    <w:p>
      <w:pPr>
        <w:pStyle w:val="ListParagraph"/>
        <w:numPr>
          <w:ilvl w:val="0"/>
          <w:numId w:val="2"/>
        </w:numPr>
        <w:spacing w:after="40" w:before="40"/>
      </w:pPr>
      <w:r>
        <w:rPr>
          <w:rFonts w:ascii="Arial" w:cs="Arial" w:eastAsia="Arial" w:hAnsi="Arial"/>
          <w:b w:val="false"/>
          <w:bCs w:val="false"/>
          <w:sz w:val="20"/>
          <w:szCs w:val="20"/>
        </w:rPr>
        <w:t xml:space="preserve">Divergenzen: Kurschart und RSI nebeneinander betrachten, Tiefs/Hochs vergleichen</w:t>
      </w:r>
    </w:p>
    <w:p>
      <w:pPr>
        <w:pageBreakBefore/>
      </w:pPr>
      <w:r>
        <w:br/>
      </w:r>
    </w:p>
    <w:p>
      <w:pPr>
        <w:pStyle w:val="Heading1"/>
        <w:pBdr>
          <w:bottom w:val="single" w:color="2E75B6" w:sz="8" w:space="4"/>
        </w:pBdr>
        <w:spacing w:after="200" w:before="360"/>
      </w:pPr>
      <w:r>
        <w:rPr>
          <w:rFonts w:ascii="Arial" w:cs="Arial" w:eastAsia="Arial" w:hAnsi="Arial"/>
          <w:b/>
          <w:bCs/>
          <w:color w:val="1F3864"/>
          <w:sz w:val="34"/>
          <w:szCs w:val="34"/>
        </w:rPr>
        <w:t xml:space="preserve">2  MACD — Moving Average Convergence/Divergence</w:t>
      </w:r>
    </w:p>
    <w:p>
      <w:pPr>
        <w:spacing w:after="120" w:before="120"/>
        <w:jc w:val="center"/>
      </w:pPr>
      <w:r>
        <w:drawing>
          <wp:inline distT="0" distB="0" distL="0" distR="0">
            <wp:extent cx="5715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71750"/>
                    </a:xfrm>
                    <a:prstGeom prst="rect">
                      <a:avLst/>
                    </a:prstGeom>
                  </pic:spPr>
                </pic:pic>
              </a:graphicData>
            </a:graphic>
          </wp:inline>
        </w:drawing>
      </w:r>
    </w:p>
    <w:p>
      <w:pPr>
        <w:spacing w:after="110" w:before="0"/>
      </w:pPr>
      <w:r>
        <w:rPr>
          <w:rFonts w:ascii="Arial" w:cs="Arial" w:eastAsia="Arial" w:hAnsi="Arial"/>
        </w:rPr>
        <w:t xml:space="preserve"/>
      </w:r>
    </w:p>
    <w:p>
      <w:pPr>
        <w:spacing w:after="60" w:before="60"/>
      </w:pPr>
      <w:r>
        <w:rPr>
          <w:rFonts w:ascii="Arial" w:cs="Arial" w:eastAsia="Arial" w:hAnsi="Arial"/>
          <w:b/>
          <w:bCs/>
          <w:color w:val="1F3864"/>
        </w:rPr>
        <w:t xml:space="preserve">Entwickler: </w:t>
      </w:r>
      <w:r>
        <w:rPr>
          <w:rFonts w:ascii="Arial" w:cs="Arial" w:eastAsia="Arial" w:hAnsi="Arial"/>
        </w:rPr>
        <w:t xml:space="preserve">Gerald Appel (1979)  ·  </w:t>
      </w:r>
      <w:r>
        <w:rPr>
          <w:rFonts w:ascii="Arial" w:cs="Arial" w:eastAsia="Arial" w:hAnsi="Arial"/>
          <w:b/>
          <w:bCs/>
          <w:color w:val="1F3864"/>
        </w:rPr>
        <w:t xml:space="preserve">Standardeinstellung: </w:t>
      </w:r>
      <w:r>
        <w:rPr>
          <w:rFonts w:ascii="Arial" w:cs="Arial" w:eastAsia="Arial" w:hAnsi="Arial"/>
        </w:rPr>
        <w:t xml:space="preserve">EMA(12), EMA(26), Signal EMA(9)</w:t>
      </w:r>
    </w:p>
    <w:p>
      <w:pPr>
        <w:spacing w:after="60" w:before="60"/>
      </w:pPr>
      <w:r>
        <w:rPr>
          <w:rFonts w:ascii="Arial" w:cs="Arial" w:eastAsia="Arial" w:hAnsi="Arial"/>
          <w:b/>
          <w:bCs/>
          <w:color w:val="1F3864"/>
        </w:rPr>
        <w:t xml:space="preserve">MACD-Linie: </w:t>
      </w:r>
      <w:r>
        <w:rPr>
          <w:rFonts w:ascii="Arial" w:cs="Arial" w:eastAsia="Arial" w:hAnsi="Arial"/>
        </w:rPr>
        <w:t xml:space="preserve">EMA(12) − EMA(26)  ·  </w:t>
      </w:r>
      <w:r>
        <w:rPr>
          <w:rFonts w:ascii="Arial" w:cs="Arial" w:eastAsia="Arial" w:hAnsi="Arial"/>
          <w:b/>
          <w:bCs/>
          <w:color w:val="1F3864"/>
        </w:rPr>
        <w:t xml:space="preserve">Signal-Linie: </w:t>
      </w:r>
      <w:r>
        <w:rPr>
          <w:rFonts w:ascii="Arial" w:cs="Arial" w:eastAsia="Arial" w:hAnsi="Arial"/>
        </w:rPr>
        <w:t xml:space="preserve">EMA(9) der MACD-Linie  ·  </w:t>
      </w:r>
      <w:r>
        <w:rPr>
          <w:rFonts w:ascii="Arial" w:cs="Arial" w:eastAsia="Arial" w:hAnsi="Arial"/>
          <w:b/>
          <w:bCs/>
          <w:color w:val="1F3864"/>
        </w:rPr>
        <w:t xml:space="preserve">Histogramm: </w:t>
      </w:r>
      <w:r>
        <w:rPr>
          <w:rFonts w:ascii="Arial" w:cs="Arial" w:eastAsia="Arial" w:hAnsi="Arial"/>
        </w:rPr>
        <w:t xml:space="preserve">MACD-Linie − Signal-Linie</w:t>
      </w:r>
    </w:p>
    <w:p>
      <w:pPr>
        <w:spacing w:after="110" w:before="0"/>
      </w:pPr>
      <w:r>
        <w:rPr>
          <w:rFonts w:ascii="Arial" w:cs="Arial" w:eastAsia="Arial" w:hAnsi="Arial"/>
        </w:rPr>
        <w:t xml:space="preserve"/>
      </w:r>
    </w:p>
    <w:p>
      <w:pPr>
        <w:pStyle w:val="Heading2"/>
        <w:spacing w:after="120" w:before="260"/>
      </w:pPr>
      <w:r>
        <w:rPr>
          <w:rFonts w:ascii="Arial" w:cs="Arial" w:eastAsia="Arial" w:hAnsi="Arial"/>
          <w:b/>
          <w:bCs/>
          <w:color w:val="2E75B6"/>
          <w:sz w:val="26"/>
          <w:szCs w:val="26"/>
        </w:rPr>
        <w:t xml:space="preserve">2.1  Die drei MACD-Komponenten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Komponente</w:t>
            </w:r>
          </w:p>
        </w:tc>
        <w:tc>
          <w:tcPr>
            <w:tcW w:type="dxa" w:w="3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Was zeigt sie?</w:t>
            </w:r>
          </w:p>
        </w:tc>
        <w:tc>
          <w:tcPr>
            <w:tcW w:type="dxa" w:w="3426"/>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Interpretation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MACD-Linie (blau)</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Differenz zwischen schnellem und langsamem EMA</w:t>
            </w:r>
          </w:p>
        </w:tc>
        <w:tc>
          <w:tcPr>
            <w:tcW w:type="dxa" w:w="3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Positiv: Kurzfristiger Trend &gt; Langfristiger Trend (bullisch)</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Signal-Linie (orange, gestrichelt)</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Geglättete MACD-Linie (EMA 9)</w:t>
            </w:r>
          </w:p>
        </w:tc>
        <w:tc>
          <w:tcPr>
            <w:tcW w:type="dxa" w:w="34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Schnittpunkte mit MACD-Linie = Kauf-/Verkaufssignale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Histogramm (Balken)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Abstand zwischen MACD- und Signal-Linie</w:t>
            </w:r>
          </w:p>
        </w:tc>
        <w:tc>
          <w:tcPr>
            <w:tcW w:type="dxa" w:w="3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Wächst: Momentum nimmt zu. Schrumpft: Momentum nachlässt (Frühwarnung!)</w:t>
            </w:r>
          </w:p>
        </w:tc>
      </w:tr>
    </w:tbl>
    <w:p>
      <w:pPr>
        <w:spacing w:after="110" w:before="0"/>
      </w:pPr>
      <w:r>
        <w:rPr>
          <w:rFonts w:ascii="Arial" w:cs="Arial" w:eastAsia="Arial" w:hAnsi="Arial"/>
        </w:rPr>
        <w:t xml:space="preserve"/>
      </w:r>
    </w:p>
    <w:p>
      <w:pPr>
        <w:pStyle w:val="Heading2"/>
        <w:spacing w:after="120" w:before="260"/>
      </w:pPr>
      <w:r>
        <w:rPr>
          <w:rFonts w:ascii="Arial" w:cs="Arial" w:eastAsia="Arial" w:hAnsi="Arial"/>
          <w:b/>
          <w:bCs/>
          <w:color w:val="2E75B6"/>
          <w:sz w:val="26"/>
          <w:szCs w:val="26"/>
        </w:rPr>
        <w:t xml:space="preserve">2.2  MACD-Signale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c>
          <w:tcPr>
            <w:tcW w:type="dxa" w:w="2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Signal</w:t>
            </w:r>
          </w:p>
        </w:tc>
        <w:tc>
          <w:tcPr>
            <w:tcW w:type="dxa" w:w="3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Bedingung</w:t>
            </w:r>
          </w:p>
        </w:tc>
        <w:tc>
          <w:tcPr>
            <w:tcW w:type="dxa" w:w="3026"/>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Stärke</w:t>
            </w:r>
          </w:p>
        </w:tc>
      </w:tr>
      <w:tr>
        <w:tc>
          <w:tcPr>
            <w:tcW w:type="dxa" w:w="2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60" w:before="60"/>
              <w:jc w:val="left"/>
            </w:pPr>
            <w:r>
              <w:rPr>
                <w:rFonts w:ascii="Arial" w:cs="Arial" w:eastAsia="Arial" w:hAnsi="Arial"/>
                <w:b/>
                <w:bCs/>
                <w:color w:val="375623"/>
                <w:sz w:val="20"/>
                <w:szCs w:val="20"/>
              </w:rPr>
              <w:t xml:space="preserve">Bullischer Crossover (Kaufsignal)</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MACD-Linie kreuzt Signal-Linie von unten nach oben</w:t>
            </w:r>
          </w:p>
        </w:tc>
        <w:tc>
          <w:tcPr>
            <w:tcW w:type="dxa" w:w="3026"/>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60" w:before="60"/>
              <w:jc w:val="center"/>
            </w:pPr>
            <w:r>
              <w:rPr>
                <w:rFonts w:ascii="Arial" w:cs="Arial" w:eastAsia="Arial" w:hAnsi="Arial"/>
                <w:b w:val="false"/>
                <w:bCs w:val="false"/>
                <w:color w:val="375623"/>
                <w:sz w:val="20"/>
                <w:szCs w:val="20"/>
              </w:rPr>
              <w:t xml:space="preserve">★★★★☆  Stärker wenn unterhalb der Nulllinie</w:t>
            </w:r>
          </w:p>
        </w:tc>
      </w:tr>
      <w:tr>
        <w:tc>
          <w:tcPr>
            <w:tcW w:type="dxa" w:w="2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60" w:before="60"/>
              <w:jc w:val="left"/>
            </w:pPr>
            <w:r>
              <w:rPr>
                <w:rFonts w:ascii="Arial" w:cs="Arial" w:eastAsia="Arial" w:hAnsi="Arial"/>
                <w:b/>
                <w:bCs/>
                <w:color w:val="843C0C"/>
                <w:sz w:val="20"/>
                <w:szCs w:val="20"/>
              </w:rPr>
              <w:t xml:space="preserve">Bärischer Crossover (Verkaufssignal)</w:t>
            </w:r>
          </w:p>
        </w:tc>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MACD-Linie kreuzt Signal-Linie von oben nach unten</w:t>
            </w:r>
          </w:p>
        </w:tc>
        <w:tc>
          <w:tcPr>
            <w:tcW w:type="dxa" w:w="3026"/>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60" w:before="60"/>
              <w:jc w:val="center"/>
            </w:pPr>
            <w:r>
              <w:rPr>
                <w:rFonts w:ascii="Arial" w:cs="Arial" w:eastAsia="Arial" w:hAnsi="Arial"/>
                <w:b w:val="false"/>
                <w:bCs w:val="false"/>
                <w:color w:val="843C0C"/>
                <w:sz w:val="20"/>
                <w:szCs w:val="20"/>
              </w:rPr>
              <w:t xml:space="preserve">★★★★☆  Stärker wenn oberhalb der Nulllinie</w:t>
            </w:r>
          </w:p>
        </w:tc>
      </w:tr>
      <w:tr>
        <w:tc>
          <w:tcPr>
            <w:tcW w:type="dxa" w:w="26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60" w:before="60"/>
              <w:jc w:val="left"/>
            </w:pPr>
            <w:r>
              <w:rPr>
                <w:rFonts w:ascii="Arial" w:cs="Arial" w:eastAsia="Arial" w:hAnsi="Arial"/>
                <w:b w:val="false"/>
                <w:bCs w:val="false"/>
                <w:color w:val="1F3864"/>
                <w:sz w:val="20"/>
                <w:szCs w:val="20"/>
              </w:rPr>
              <w:t xml:space="preserve">Nulllinien-Crossover</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MACD-Linie kreuzt die Null-Linie</w:t>
            </w:r>
          </w:p>
        </w:tc>
        <w:tc>
          <w:tcPr>
            <w:tcW w:type="dxa" w:w="3026"/>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60" w:before="60"/>
              <w:jc w:val="center"/>
            </w:pPr>
            <w:r>
              <w:rPr>
                <w:rFonts w:ascii="Arial" w:cs="Arial" w:eastAsia="Arial" w:hAnsi="Arial"/>
                <w:b w:val="false"/>
                <w:bCs w:val="false"/>
                <w:color w:val="7F6000"/>
                <w:sz w:val="20"/>
                <w:szCs w:val="20"/>
              </w:rPr>
              <w:t xml:space="preserve">★★★☆☆  Trendbestätigung, aber spät</w:t>
            </w:r>
          </w:p>
        </w:tc>
      </w:tr>
      <w:tr>
        <w:tc>
          <w:tcPr>
            <w:tcW w:type="dxa" w:w="26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pPr>
              <w:spacing w:after="60" w:before="60"/>
              <w:jc w:val="left"/>
            </w:pPr>
            <w:r>
              <w:rPr>
                <w:rFonts w:ascii="Arial" w:cs="Arial" w:eastAsia="Arial" w:hAnsi="Arial"/>
                <w:b w:val="false"/>
                <w:bCs w:val="false"/>
                <w:color w:val="1F3864"/>
                <w:sz w:val="20"/>
                <w:szCs w:val="20"/>
              </w:rPr>
              <w:t xml:space="preserve">Histogramm-Divergenz</w:t>
            </w:r>
          </w:p>
        </w:tc>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Kurs neues Hoch/Tief, Histogramm aber kleiner werdend</w:t>
            </w:r>
          </w:p>
        </w:tc>
        <w:tc>
          <w:tcPr>
            <w:tcW w:type="dxa" w:w="3026"/>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60" w:before="60"/>
              <w:jc w:val="center"/>
            </w:pPr>
            <w:r>
              <w:rPr>
                <w:rFonts w:ascii="Arial" w:cs="Arial" w:eastAsia="Arial" w:hAnsi="Arial"/>
                <w:b w:val="false"/>
                <w:bCs w:val="false"/>
                <w:color w:val="375623"/>
                <w:sz w:val="20"/>
                <w:szCs w:val="20"/>
              </w:rPr>
              <w:t xml:space="preserve">★★★★★  Frühestes und stärkstes Signal</w:t>
            </w:r>
          </w:p>
        </w:tc>
      </w:tr>
    </w:tbl>
    <w:p>
      <w:pPr>
        <w:spacing w:after="110" w:before="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D5E8F0" w:val="clear"/>
            <w:tcMar>
              <w:top w:type="dxa" w:w="120"/>
              <w:left w:type="dxa" w:w="180"/>
              <w:bottom w:type="dxa" w:w="120"/>
              <w:right w:type="dxa" w:w="180"/>
            </w:tcMar>
          </w:tcPr>
          <w:p>
            <w:pPr>
              <w:spacing w:after="60" w:before="60"/>
            </w:pPr>
            <w:r>
              <w:rPr>
                <w:rFonts w:ascii="Arial" w:cs="Arial" w:eastAsia="Arial" w:hAnsi="Arial"/>
                <w:b/>
                <w:bCs/>
                <w:color w:val="1F3864"/>
                <w:sz w:val="20"/>
                <w:szCs w:val="20"/>
              </w:rPr>
              <w:t xml:space="preserve">MACD vs. RSI: </w:t>
            </w:r>
            <w:r>
              <w:rPr>
                <w:rFonts w:ascii="Arial" w:cs="Arial" w:eastAsia="Arial" w:hAnsi="Arial"/>
                <w:b w:val="false"/>
                <w:bCs w:val="false"/>
                <w:color w:val="1F3864"/>
                <w:sz w:val="20"/>
                <w:szCs w:val="20"/>
              </w:rPr>
              <w:t xml:space="preserve">RSI misst die Geschwindigkeit einer Bewegung (Momentum). MACD misst die Richtung und Stärke eines Trends. Beide zusammen: RSI zeigt überkauft/überverkauft, MACD bestätigt Trendwechsel. Wenn beide gleichzeitig ein Kaufsignal zeigen = starke Konfluenz.</w:t>
            </w:r>
          </w:p>
          <w:p>
            <w:pPr>
              <w:spacing w:after="60" w:before="60"/>
            </w:pPr>
            <w:r>
              <w:rPr>
                <w:rFonts w:ascii="Arial" w:cs="Arial" w:eastAsia="Arial" w:hAnsi="Arial"/>
                <w:b/>
                <w:bCs/>
                <w:color w:val="1F3864"/>
                <w:sz w:val="20"/>
                <w:szCs w:val="20"/>
              </w:rPr>
              <w:t xml:space="preserve">ENR aktuell: </w:t>
            </w:r>
            <w:r>
              <w:rPr>
                <w:rFonts w:ascii="Arial" w:cs="Arial" w:eastAsia="Arial" w:hAnsi="Arial"/>
                <w:b w:val="false"/>
                <w:bCs w:val="false"/>
                <w:color w:val="1F3864"/>
                <w:sz w:val="20"/>
                <w:szCs w:val="20"/>
              </w:rPr>
              <w:t xml:space="preserve">MACD bärisch (unter Signal-Linie seit ATH Mitte Mai). Das Histogramm schrumpft — ein erstes Zeichen, dass das negative Momentum nachlässt. Noch kein Crossover-Kaufsignal.</w:t>
            </w:r>
          </w:p>
        </w:tc>
      </w:tr>
    </w:tbl>
    <w:p>
      <w:pPr>
        <w:pageBreakBefore/>
      </w:pPr>
      <w:r>
        <w:br/>
      </w:r>
    </w:p>
    <w:p>
      <w:pPr>
        <w:pStyle w:val="Heading1"/>
        <w:pBdr>
          <w:bottom w:val="single" w:color="2E75B6" w:sz="8" w:space="4"/>
        </w:pBdr>
        <w:spacing w:after="200" w:before="360"/>
      </w:pPr>
      <w:r>
        <w:rPr>
          <w:rFonts w:ascii="Arial" w:cs="Arial" w:eastAsia="Arial" w:hAnsi="Arial"/>
          <w:b/>
          <w:bCs/>
          <w:color w:val="1F3864"/>
          <w:sz w:val="34"/>
          <w:szCs w:val="34"/>
        </w:rPr>
        <w:t xml:space="preserve">3  Bollinger Bands</w:t>
      </w:r>
    </w:p>
    <w:p>
      <w:pPr>
        <w:spacing w:after="120" w:before="120"/>
        <w:jc w:val="center"/>
      </w:pPr>
      <w:r>
        <w:drawing>
          <wp:inline distT="0" distB="0" distL="0" distR="0">
            <wp:extent cx="5334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143125"/>
                    </a:xfrm>
                    <a:prstGeom prst="rect">
                      <a:avLst/>
                    </a:prstGeom>
                  </pic:spPr>
                </pic:pic>
              </a:graphicData>
            </a:graphic>
          </wp:inline>
        </w:drawing>
      </w:r>
    </w:p>
    <w:p>
      <w:pPr>
        <w:spacing w:after="110" w:before="0"/>
      </w:pPr>
      <w:r>
        <w:rPr>
          <w:rFonts w:ascii="Arial" w:cs="Arial" w:eastAsia="Arial" w:hAnsi="Arial"/>
        </w:rPr>
        <w:t xml:space="preserve"/>
      </w:r>
    </w:p>
    <w:p>
      <w:pPr>
        <w:spacing w:after="60" w:before="60"/>
      </w:pPr>
      <w:r>
        <w:rPr>
          <w:rFonts w:ascii="Arial" w:cs="Arial" w:eastAsia="Arial" w:hAnsi="Arial"/>
          <w:b/>
          <w:bCs/>
          <w:color w:val="1F3864"/>
        </w:rPr>
        <w:t xml:space="preserve">Entwickler: </w:t>
      </w:r>
      <w:r>
        <w:rPr>
          <w:rFonts w:ascii="Arial" w:cs="Arial" w:eastAsia="Arial" w:hAnsi="Arial"/>
        </w:rPr>
        <w:t xml:space="preserve">John Bollinger (1980er)  ·  </w:t>
      </w:r>
      <w:r>
        <w:rPr>
          <w:rFonts w:ascii="Arial" w:cs="Arial" w:eastAsia="Arial" w:hAnsi="Arial"/>
          <w:b/>
          <w:bCs/>
          <w:color w:val="1F3864"/>
        </w:rPr>
        <w:t xml:space="preserve">Standardeinstellung: </w:t>
      </w:r>
      <w:r>
        <w:rPr>
          <w:rFonts w:ascii="Arial" w:cs="Arial" w:eastAsia="Arial" w:hAnsi="Arial"/>
        </w:rPr>
        <w:t xml:space="preserve">SMA(20), ±2 Standardabweichungen</w:t>
      </w:r>
    </w:p>
    <w:p>
      <w:pPr>
        <w:spacing w:after="60" w:before="60"/>
      </w:pPr>
      <w:r>
        <w:rPr>
          <w:rFonts w:ascii="Arial" w:cs="Arial" w:eastAsia="Arial" w:hAnsi="Arial"/>
          <w:b/>
          <w:bCs/>
          <w:color w:val="1F3864"/>
        </w:rPr>
        <w:t xml:space="preserve">Oberes Band: </w:t>
      </w:r>
      <w:r>
        <w:rPr>
          <w:rFonts w:ascii="Arial" w:cs="Arial" w:eastAsia="Arial" w:hAnsi="Arial"/>
        </w:rPr>
        <w:t xml:space="preserve">SMA(20) + 2σ  ·  </w:t>
      </w:r>
      <w:r>
        <w:rPr>
          <w:rFonts w:ascii="Arial" w:cs="Arial" w:eastAsia="Arial" w:hAnsi="Arial"/>
          <w:b/>
          <w:bCs/>
          <w:color w:val="1F3864"/>
        </w:rPr>
        <w:t xml:space="preserve">Unteres Band: </w:t>
      </w:r>
      <w:r>
        <w:rPr>
          <w:rFonts w:ascii="Arial" w:cs="Arial" w:eastAsia="Arial" w:hAnsi="Arial"/>
        </w:rPr>
        <w:t xml:space="preserve">SMA(20) − 2σ  ·  </w:t>
      </w:r>
      <w:r>
        <w:rPr>
          <w:rFonts w:ascii="Arial" w:cs="Arial" w:eastAsia="Arial" w:hAnsi="Arial"/>
          <w:b/>
          <w:bCs/>
          <w:color w:val="1F3864"/>
        </w:rPr>
        <w:t xml:space="preserve">Statistik: </w:t>
      </w:r>
      <w:r>
        <w:rPr>
          <w:rFonts w:ascii="Arial" w:cs="Arial" w:eastAsia="Arial" w:hAnsi="Arial"/>
        </w:rPr>
        <w:t xml:space="preserve">~95% aller Kurse liegen innerhalb der Bänder</w:t>
      </w:r>
    </w:p>
    <w:p>
      <w:pPr>
        <w:spacing w:after="110" w:before="0"/>
      </w:pPr>
      <w:r>
        <w:rPr>
          <w:rFonts w:ascii="Arial" w:cs="Arial" w:eastAsia="Arial" w:hAnsi="Arial"/>
        </w:rPr>
        <w:t xml:space="preserve"/>
      </w:r>
    </w:p>
    <w:p>
      <w:pPr>
        <w:pStyle w:val="Heading2"/>
        <w:spacing w:after="120" w:before="260"/>
      </w:pPr>
      <w:r>
        <w:rPr>
          <w:rFonts w:ascii="Arial" w:cs="Arial" w:eastAsia="Arial" w:hAnsi="Arial"/>
          <w:b/>
          <w:bCs/>
          <w:color w:val="2E75B6"/>
          <w:sz w:val="26"/>
          <w:szCs w:val="26"/>
        </w:rPr>
        <w:t xml:space="preserve">3.1  Was Bollinger Bands zeigen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Situation</w:t>
            </w:r>
          </w:p>
        </w:tc>
        <w:tc>
          <w:tcPr>
            <w:tcW w:type="dxa" w:w="3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Bedeutung</w:t>
            </w:r>
          </w:p>
        </w:tc>
        <w:tc>
          <w:tcPr>
            <w:tcW w:type="dxa" w:w="3026"/>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Signalstärke</w:t>
            </w:r>
          </w:p>
        </w:tc>
      </w:tr>
      <w:tr>
        <w:tc>
          <w:tcPr>
            <w:tcW w:type="dxa" w:w="2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60" w:before="60"/>
              <w:jc w:val="left"/>
            </w:pPr>
            <w:r>
              <w:rPr>
                <w:rFonts w:ascii="Arial" w:cs="Arial" w:eastAsia="Arial" w:hAnsi="Arial"/>
                <w:b w:val="false"/>
                <w:bCs w:val="false"/>
                <w:color w:val="843C0C"/>
                <w:sz w:val="20"/>
                <w:szCs w:val="20"/>
              </w:rPr>
              <w:t xml:space="preserve">Kurs berührt oberes Band</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Relativ teuer im eigenen historischen Kontext — Vorsicht / Gewinnsicherung</w:t>
            </w:r>
          </w:p>
        </w:tc>
        <w:tc>
          <w:tcPr>
            <w:tcW w:type="dxa" w:w="3026"/>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60" w:before="60"/>
              <w:jc w:val="center"/>
            </w:pPr>
            <w:r>
              <w:rPr>
                <w:rFonts w:ascii="Arial" w:cs="Arial" w:eastAsia="Arial" w:hAnsi="Arial"/>
                <w:b w:val="false"/>
                <w:bCs w:val="false"/>
                <w:color w:val="7F6000"/>
                <w:sz w:val="20"/>
                <w:szCs w:val="20"/>
              </w:rPr>
              <w:t xml:space="preserve">★★★☆☆  Nur Kontext, kein Solo-Signal</w:t>
            </w:r>
          </w:p>
        </w:tc>
      </w:tr>
      <w:tr>
        <w:tc>
          <w:tcPr>
            <w:tcW w:type="dxa" w:w="2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60" w:before="60"/>
              <w:jc w:val="left"/>
            </w:pPr>
            <w:r>
              <w:rPr>
                <w:rFonts w:ascii="Arial" w:cs="Arial" w:eastAsia="Arial" w:hAnsi="Arial"/>
                <w:b w:val="false"/>
                <w:bCs w:val="false"/>
                <w:color w:val="375623"/>
                <w:sz w:val="20"/>
                <w:szCs w:val="20"/>
              </w:rPr>
              <w:t xml:space="preserve">Kurs berührt unteres Band</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Relativ günstig im eigenen historischen Kontext — Kaufprüfung</w:t>
            </w:r>
          </w:p>
        </w:tc>
        <w:tc>
          <w:tcPr>
            <w:tcW w:type="dxa" w:w="3026"/>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60" w:before="60"/>
              <w:jc w:val="center"/>
            </w:pPr>
            <w:r>
              <w:rPr>
                <w:rFonts w:ascii="Arial" w:cs="Arial" w:eastAsia="Arial" w:hAnsi="Arial"/>
                <w:b w:val="false"/>
                <w:bCs w:val="false"/>
                <w:color w:val="7F6000"/>
                <w:sz w:val="20"/>
                <w:szCs w:val="20"/>
              </w:rPr>
              <w:t xml:space="preserve">★★★☆☆  Nur Kontext, kein Solo-Signal</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60" w:before="60"/>
              <w:jc w:val="left"/>
            </w:pPr>
            <w:r>
              <w:rPr>
                <w:rFonts w:ascii="Arial" w:cs="Arial" w:eastAsia="Arial" w:hAnsi="Arial"/>
                <w:b w:val="false"/>
                <w:bCs w:val="false"/>
                <w:color w:val="1F3864"/>
                <w:sz w:val="20"/>
                <w:szCs w:val="20"/>
              </w:rPr>
              <w:t xml:space="preserve">Bollinger Squeeze (enge Bänder)</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Niedrige Volatilität — ein starker Ausbruch steht bevor (Richtung unklar!)</w:t>
            </w:r>
          </w:p>
        </w:tc>
        <w:tc>
          <w:tcPr>
            <w:tcW w:type="dxa" w:w="3026"/>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60" w:before="60"/>
              <w:jc w:val="center"/>
            </w:pPr>
            <w:r>
              <w:rPr>
                <w:rFonts w:ascii="Arial" w:cs="Arial" w:eastAsia="Arial" w:hAnsi="Arial"/>
                <w:b w:val="false"/>
                <w:bCs w:val="false"/>
                <w:color w:val="375623"/>
                <w:sz w:val="20"/>
                <w:szCs w:val="20"/>
              </w:rPr>
              <w:t xml:space="preserve">★★★★★  Sehr zuverlässiger Vorläufer</w:t>
            </w:r>
          </w:p>
        </w:tc>
      </w:tr>
      <w:tr>
        <w:tc>
          <w:tcPr>
            <w:tcW w:type="dxa" w:w="24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60" w:before="60"/>
              <w:jc w:val="left"/>
            </w:pPr>
            <w:r>
              <w:rPr>
                <w:rFonts w:ascii="Arial" w:cs="Arial" w:eastAsia="Arial" w:hAnsi="Arial"/>
                <w:b w:val="false"/>
                <w:bCs w:val="false"/>
                <w:color w:val="7F6000"/>
                <w:sz w:val="20"/>
                <w:szCs w:val="20"/>
              </w:rPr>
              <w:t xml:space="preserve">Band-Expansion (weite Bänder)</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Hohe Volatilität, starker Trend — Trend wird aggressiver</w:t>
            </w:r>
          </w:p>
        </w:tc>
        <w:tc>
          <w:tcPr>
            <w:tcW w:type="dxa" w:w="3026"/>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60" w:before="60"/>
              <w:jc w:val="center"/>
            </w:pPr>
            <w:r>
              <w:rPr>
                <w:rFonts w:ascii="Arial" w:cs="Arial" w:eastAsia="Arial" w:hAnsi="Arial"/>
                <w:b w:val="false"/>
                <w:bCs w:val="false"/>
                <w:color w:val="7F6000"/>
                <w:sz w:val="20"/>
                <w:szCs w:val="20"/>
              </w:rPr>
              <w:t xml:space="preserve">★★★☆☆  Bestätigt bestehenden Trend</w:t>
            </w:r>
          </w:p>
        </w:tc>
      </w:tr>
      <w:tr>
        <w:tc>
          <w:tcPr>
            <w:tcW w:type="dxa" w:w="2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60" w:before="60"/>
              <w:jc w:val="left"/>
            </w:pPr>
            <w:r>
              <w:rPr>
                <w:rFonts w:ascii="Arial" w:cs="Arial" w:eastAsia="Arial" w:hAnsi="Arial"/>
                <w:b w:val="false"/>
                <w:bCs w:val="false"/>
                <w:color w:val="375623"/>
                <w:sz w:val="20"/>
                <w:szCs w:val="20"/>
              </w:rPr>
              <w:t xml:space="preserve">Kurs über SMA(20) (Mittellinie)</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Kurzfristiger Aufwärtstrend intakt</w:t>
            </w:r>
          </w:p>
        </w:tc>
        <w:tc>
          <w:tcPr>
            <w:tcW w:type="dxa" w:w="3026"/>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60" w:before="60"/>
              <w:jc w:val="center"/>
            </w:pPr>
            <w:r>
              <w:rPr>
                <w:rFonts w:ascii="Arial" w:cs="Arial" w:eastAsia="Arial" w:hAnsi="Arial"/>
                <w:b w:val="false"/>
                <w:bCs w:val="false"/>
                <w:color w:val="7F6000"/>
                <w:sz w:val="20"/>
                <w:szCs w:val="20"/>
              </w:rPr>
              <w:t xml:space="preserve">★★★☆☆  Trendfilter</w:t>
            </w:r>
          </w:p>
        </w:tc>
      </w:tr>
    </w:tbl>
    <w:p>
      <w:pPr>
        <w:spacing w:after="110" w:before="0"/>
      </w:pPr>
      <w:r>
        <w:rPr>
          <w:rFonts w:ascii="Arial" w:cs="Arial" w:eastAsia="Arial" w:hAnsi="Arial"/>
        </w:rPr>
        <w:t xml:space="preserve"/>
      </w:r>
    </w:p>
    <w:p>
      <w:pPr>
        <w:pStyle w:val="Heading2"/>
        <w:spacing w:after="120" w:before="260"/>
      </w:pPr>
      <w:r>
        <w:rPr>
          <w:rFonts w:ascii="Arial" w:cs="Arial" w:eastAsia="Arial" w:hAnsi="Arial"/>
          <w:b/>
          <w:bCs/>
          <w:color w:val="2E75B6"/>
          <w:sz w:val="26"/>
          <w:szCs w:val="26"/>
        </w:rPr>
        <w:t xml:space="preserve">3.2  Der Bollinger Squeeze — das stärkste Signal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D5E8F0" w:val="clear"/>
            <w:tcMar>
              <w:top w:type="dxa" w:w="120"/>
              <w:left w:type="dxa" w:w="180"/>
              <w:bottom w:type="dxa" w:w="120"/>
              <w:right w:type="dxa" w:w="180"/>
            </w:tcMar>
          </w:tcPr>
          <w:p>
            <w:pPr>
              <w:spacing w:after="60" w:before="60"/>
            </w:pPr>
            <w:r>
              <w:rPr>
                <w:rFonts w:ascii="Arial" w:cs="Arial" w:eastAsia="Arial" w:hAnsi="Arial"/>
                <w:b/>
                <w:bCs/>
                <w:color w:val="1F3864"/>
                <w:sz w:val="20"/>
                <w:szCs w:val="20"/>
              </w:rPr>
              <w:t xml:space="preserve">Was ist ein Squeeze?: </w:t>
            </w:r>
            <w:r>
              <w:rPr>
                <w:rFonts w:ascii="Arial" w:cs="Arial" w:eastAsia="Arial" w:hAnsi="Arial"/>
                <w:b w:val="false"/>
                <w:bCs w:val="false"/>
                <w:color w:val="1F3864"/>
                <w:sz w:val="20"/>
                <w:szCs w:val="20"/>
              </w:rPr>
              <w:t xml:space="preserve">Wenn die Bänder sehr eng zusammenrücken, zeigt das eine Phase extrem niedriger Volatilität. Solche Phasen gehen historisch fast immer einem starken Ausbruch voraus — Bollinger Bands können aber nicht die Richtung vorhersagen.</w:t>
            </w:r>
          </w:p>
          <w:p>
            <w:pPr>
              <w:spacing w:after="60" w:before="60"/>
            </w:pPr>
            <w:r>
              <w:rPr>
                <w:rFonts w:ascii="Arial" w:cs="Arial" w:eastAsia="Arial" w:hAnsi="Arial"/>
                <w:b/>
                <w:bCs/>
                <w:color w:val="1F3864"/>
                <w:sz w:val="20"/>
                <w:szCs w:val="20"/>
              </w:rPr>
              <w:t xml:space="preserve">Kombination: </w:t>
            </w:r>
            <w:r>
              <w:rPr>
                <w:rFonts w:ascii="Arial" w:cs="Arial" w:eastAsia="Arial" w:hAnsi="Arial"/>
                <w:b w:val="false"/>
                <w:bCs w:val="false"/>
                <w:color w:val="1F3864"/>
                <w:sz w:val="20"/>
                <w:szCs w:val="20"/>
              </w:rPr>
              <w:t xml:space="preserve">Squeeze identifizieren → Richtung mit MACD oder RSI bestimmen → beim Ausbruch auf der richtigen Seite positionieren. Dies ist eine der zuverlässigsten Setups in der technischen Analyse.</w:t>
            </w:r>
          </w:p>
          <w:p>
            <w:pPr>
              <w:spacing w:after="60" w:before="60"/>
            </w:pPr>
            <w:r>
              <w:rPr>
                <w:rFonts w:ascii="Arial" w:cs="Arial" w:eastAsia="Arial" w:hAnsi="Arial"/>
                <w:b/>
                <w:bCs/>
                <w:color w:val="1F3864"/>
                <w:sz w:val="20"/>
                <w:szCs w:val="20"/>
              </w:rPr>
              <w:t xml:space="preserve">TradingView Tipp: </w:t>
            </w:r>
            <w:r>
              <w:rPr>
                <w:rFonts w:ascii="Arial" w:cs="Arial" w:eastAsia="Arial" w:hAnsi="Arial"/>
                <w:b w:val="false"/>
                <w:bCs w:val="false"/>
                <w:color w:val="1F3864"/>
                <w:sz w:val="20"/>
                <w:szCs w:val="20"/>
              </w:rPr>
              <w:t xml:space="preserve">'Bollinger Bands Width' als Zusatzindikator: Zeigt die Bandbreite als Linie. Ein lokales Minimum der Bandbreite = Squeeze-Signal.</w:t>
            </w:r>
          </w:p>
        </w:tc>
      </w:tr>
    </w:tbl>
    <w:p>
      <w:pPr>
        <w:pageBreakBefore/>
      </w:pPr>
      <w:r>
        <w:br/>
      </w:r>
    </w:p>
    <w:p>
      <w:pPr>
        <w:pStyle w:val="Heading1"/>
        <w:pBdr>
          <w:bottom w:val="single" w:color="2E75B6" w:sz="8" w:space="4"/>
        </w:pBdr>
        <w:spacing w:after="200" w:before="360"/>
      </w:pPr>
      <w:r>
        <w:rPr>
          <w:rFonts w:ascii="Arial" w:cs="Arial" w:eastAsia="Arial" w:hAnsi="Arial"/>
          <w:b/>
          <w:bCs/>
          <w:color w:val="1F3864"/>
          <w:sz w:val="34"/>
          <w:szCs w:val="34"/>
        </w:rPr>
        <w:t xml:space="preserve">4  Gleitende Durchschnitte (Moving Averages)</w:t>
      </w:r>
    </w:p>
    <w:p>
      <w:pPr>
        <w:spacing w:after="120" w:before="120"/>
        <w:jc w:val="center"/>
      </w:pPr>
      <w:r>
        <w:drawing>
          <wp:inline distT="0" distB="0" distL="0" distR="0">
            <wp:extent cx="5334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095500"/>
                    </a:xfrm>
                    <a:prstGeom prst="rect">
                      <a:avLst/>
                    </a:prstGeom>
                  </pic:spPr>
                </pic:pic>
              </a:graphicData>
            </a:graphic>
          </wp:inline>
        </w:drawing>
      </w:r>
    </w:p>
    <w:p>
      <w:pPr>
        <w:spacing w:after="110" w:before="0"/>
      </w:pPr>
      <w:r>
        <w:rPr>
          <w:rFonts w:ascii="Arial" w:cs="Arial" w:eastAsia="Arial" w:hAnsi="Arial"/>
        </w:rPr>
        <w:t xml:space="preserve"/>
      </w:r>
    </w:p>
    <w:p>
      <w:pPr>
        <w:pStyle w:val="Heading2"/>
        <w:spacing w:after="120" w:before="260"/>
      </w:pPr>
      <w:r>
        <w:rPr>
          <w:rFonts w:ascii="Arial" w:cs="Arial" w:eastAsia="Arial" w:hAnsi="Arial"/>
          <w:b/>
          <w:bCs/>
          <w:color w:val="2E75B6"/>
          <w:sz w:val="26"/>
          <w:szCs w:val="26"/>
        </w:rPr>
        <w:t xml:space="preserve">4.1  SMA vs. EMA — Der Unterschied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400"/>
        <w:gridCol w:w="1626"/>
      </w:tblGrid>
      <w:t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Typ</w:t>
            </w:r>
          </w:p>
        </w:tc>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Formel</w:t>
            </w:r>
          </w:p>
        </w:tc>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Charakteristik</w:t>
            </w:r>
          </w:p>
        </w:tc>
        <w:tc>
          <w:tcPr>
            <w:tcW w:type="dxa" w:w="1626"/>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Besser für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SMA — Simple Moving Average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Arithmetisches Mittel der letzten N Kurse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Langsamer, weniger Fehlsignale, stabiler</w:t>
            </w:r>
          </w:p>
        </w:tc>
        <w:tc>
          <w:tcPr>
            <w:tcW w:type="dxa" w:w="1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Unterstützungs-/Widerstandslinien, Trendfilter</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EMA — Exponential Moving Average</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Gewichteter Schnitt — neuere Kurse stärker gewichtet</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Schneller, reagiert früher auf Kursänderungen</w:t>
            </w:r>
          </w:p>
        </w:tc>
        <w:tc>
          <w:tcPr>
            <w:tcW w:type="dxa" w:w="16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Aktiver Handel, frühere Signale</w:t>
            </w:r>
          </w:p>
        </w:tc>
      </w:tr>
    </w:tbl>
    <w:p>
      <w:pPr>
        <w:spacing w:after="110" w:before="0"/>
      </w:pPr>
      <w:r>
        <w:rPr>
          <w:rFonts w:ascii="Arial" w:cs="Arial" w:eastAsia="Arial" w:hAnsi="Arial"/>
        </w:rPr>
        <w:t xml:space="preserve"/>
      </w:r>
    </w:p>
    <w:p>
      <w:pPr>
        <w:pStyle w:val="Heading2"/>
        <w:spacing w:after="120" w:before="260"/>
      </w:pPr>
      <w:r>
        <w:rPr>
          <w:rFonts w:ascii="Arial" w:cs="Arial" w:eastAsia="Arial" w:hAnsi="Arial"/>
          <w:b/>
          <w:bCs/>
          <w:color w:val="2E75B6"/>
          <w:sz w:val="26"/>
          <w:szCs w:val="26"/>
        </w:rPr>
        <w:t xml:space="preserve">4.2  Die wichtigsten gleitenden Durchschnitte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3200"/>
        <w:gridCol w:w="2426"/>
      </w:tblGrid>
      <w:tr>
        <w:tc>
          <w:tcPr>
            <w:tcW w:type="dxa" w:w="17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Durchschnitt</w:t>
            </w:r>
          </w:p>
        </w:tc>
        <w:tc>
          <w:tcPr>
            <w:tcW w:type="dxa" w:w="17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Zeitrahmen</w:t>
            </w:r>
          </w:p>
        </w:tc>
        <w:tc>
          <w:tcPr>
            <w:tcW w:type="dxa" w:w="3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Bedeutung</w:t>
            </w:r>
          </w:p>
        </w:tc>
        <w:tc>
          <w:tcPr>
            <w:tcW w:type="dxa" w:w="2426"/>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ENR (Juni 2026)</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SMA 20</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Kurzfristig (~1 Monat)</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Kurzfristiger Trendfilter, Bollinger-Mittellinie</w:t>
            </w:r>
          </w:p>
        </w:tc>
        <w:tc>
          <w:tcPr>
            <w:tcW w:type="dxa" w:w="2426"/>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60" w:before="60"/>
              <w:jc w:val="center"/>
            </w:pPr>
            <w:r>
              <w:rPr>
                <w:rFonts w:ascii="Arial" w:cs="Arial" w:eastAsia="Arial" w:hAnsi="Arial"/>
                <w:b w:val="false"/>
                <w:bCs w:val="false"/>
                <w:color w:val="843C0C"/>
                <w:sz w:val="20"/>
                <w:szCs w:val="20"/>
              </w:rPr>
              <w:t xml:space="preserve">~175 € — Kurs darunter ↓</w:t>
            </w:r>
          </w:p>
        </w:tc>
      </w:tr>
      <w:tr>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SMA 50</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Mittelfristig (~2,5 Monate)</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Wichtige Unterstützungs-/Widerstandslinie</w:t>
            </w:r>
          </w:p>
        </w:tc>
        <w:tc>
          <w:tcPr>
            <w:tcW w:type="dxa" w:w="2426"/>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60" w:before="60"/>
              <w:jc w:val="center"/>
            </w:pPr>
            <w:r>
              <w:rPr>
                <w:rFonts w:ascii="Arial" w:cs="Arial" w:eastAsia="Arial" w:hAnsi="Arial"/>
                <w:b w:val="false"/>
                <w:bCs w:val="false"/>
                <w:color w:val="843C0C"/>
                <w:sz w:val="20"/>
                <w:szCs w:val="20"/>
              </w:rPr>
              <w:t xml:space="preserve">~167 € — Kurs darunter ↓</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SMA 100</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Mittelfristig (~5 Monate)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Stärkere Unterstützung, oft Wendepunkt</w:t>
            </w:r>
          </w:p>
        </w:tc>
        <w:tc>
          <w:tcPr>
            <w:tcW w:type="dxa" w:w="2426"/>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60" w:before="60"/>
              <w:jc w:val="center"/>
            </w:pPr>
            <w:r>
              <w:rPr>
                <w:rFonts w:ascii="Arial" w:cs="Arial" w:eastAsia="Arial" w:hAnsi="Arial"/>
                <w:b w:val="false"/>
                <w:bCs w:val="false"/>
                <w:color w:val="7F6000"/>
                <w:sz w:val="20"/>
                <w:szCs w:val="20"/>
              </w:rPr>
              <w:t xml:space="preserve">~159 € — gerade gebrochen</w:t>
            </w:r>
          </w:p>
        </w:tc>
      </w:tr>
      <w:tr>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SMA 200</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Langfristig (~10 Monate)</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Der wichtigste Trendindikator überhaupt</w:t>
            </w:r>
          </w:p>
        </w:tc>
        <w:tc>
          <w:tcPr>
            <w:tcW w:type="dxa" w:w="2426"/>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60" w:before="60"/>
              <w:jc w:val="center"/>
            </w:pPr>
            <w:r>
              <w:rPr>
                <w:rFonts w:ascii="Arial" w:cs="Arial" w:eastAsia="Arial" w:hAnsi="Arial"/>
                <w:b w:val="false"/>
                <w:bCs w:val="false"/>
                <w:color w:val="375623"/>
                <w:sz w:val="20"/>
                <w:szCs w:val="20"/>
              </w:rPr>
              <w:t xml:space="preserve">~132 € — Kurs darüber ✔</w:t>
            </w:r>
          </w:p>
        </w:tc>
      </w:tr>
    </w:tbl>
    <w:p>
      <w:pPr>
        <w:spacing w:after="110" w:before="0"/>
      </w:pPr>
      <w:r>
        <w:rPr>
          <w:rFonts w:ascii="Arial" w:cs="Arial" w:eastAsia="Arial" w:hAnsi="Arial"/>
        </w:rPr>
        <w:t xml:space="preserve"/>
      </w:r>
    </w:p>
    <w:p>
      <w:pPr>
        <w:pStyle w:val="Heading2"/>
        <w:spacing w:after="120" w:before="260"/>
      </w:pPr>
      <w:r>
        <w:rPr>
          <w:rFonts w:ascii="Arial" w:cs="Arial" w:eastAsia="Arial" w:hAnsi="Arial"/>
          <w:b/>
          <w:bCs/>
          <w:color w:val="2E75B6"/>
          <w:sz w:val="26"/>
          <w:szCs w:val="26"/>
        </w:rPr>
        <w:t xml:space="preserve">4.3  Golden Cross &amp; Death Cross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D5E8F0" w:val="clear"/>
            <w:tcMar>
              <w:top w:type="dxa" w:w="120"/>
              <w:left w:type="dxa" w:w="180"/>
              <w:bottom w:type="dxa" w:w="120"/>
              <w:right w:type="dxa" w:w="180"/>
            </w:tcMar>
          </w:tcPr>
          <w:p>
            <w:pPr>
              <w:spacing w:after="60" w:before="60"/>
            </w:pPr>
            <w:r>
              <w:rPr>
                <w:rFonts w:ascii="Arial" w:cs="Arial" w:eastAsia="Arial" w:hAnsi="Arial"/>
                <w:b/>
                <w:bCs/>
                <w:color w:val="1F3864"/>
                <w:sz w:val="20"/>
                <w:szCs w:val="20"/>
              </w:rPr>
              <w:t xml:space="preserve">Golden Cross: </w:t>
            </w:r>
            <w:r>
              <w:rPr>
                <w:rFonts w:ascii="Arial" w:cs="Arial" w:eastAsia="Arial" w:hAnsi="Arial"/>
                <w:b w:val="false"/>
                <w:bCs w:val="false"/>
                <w:color w:val="1F3864"/>
                <w:sz w:val="20"/>
                <w:szCs w:val="20"/>
              </w:rPr>
              <w:t xml:space="preserve">SMA 50 kreuzt SMA 200 von unten nach oben → starkes bullisches Langzeitsignal. Historisch gefolgt von überdurchschnittlicher Performance über 6–12 Monate. Letzter ENR Golden Cross: Frühjahr 2024 (Startschuss des +526%-Anstiegs).</w:t>
            </w:r>
          </w:p>
          <w:p>
            <w:pPr>
              <w:spacing w:after="60" w:before="60"/>
            </w:pPr>
            <w:r>
              <w:rPr>
                <w:rFonts w:ascii="Arial" w:cs="Arial" w:eastAsia="Arial" w:hAnsi="Arial"/>
                <w:b/>
                <w:bCs/>
                <w:color w:val="1F3864"/>
                <w:sz w:val="20"/>
                <w:szCs w:val="20"/>
              </w:rPr>
              <w:t xml:space="preserve">Death Cross: </w:t>
            </w:r>
            <w:r>
              <w:rPr>
                <w:rFonts w:ascii="Arial" w:cs="Arial" w:eastAsia="Arial" w:hAnsi="Arial"/>
                <w:b w:val="false"/>
                <w:bCs w:val="false"/>
                <w:color w:val="1F3864"/>
                <w:sz w:val="20"/>
                <w:szCs w:val="20"/>
              </w:rPr>
              <w:t xml:space="preserve">SMA 50 kreuzt SMA 200 von oben nach unten → bearisches Langzeitsignal. Oft Vorbote einer ausgedehnten Schwächephase. ENR aktuell: Noch kein Death Cross — SMA200 weit entfernt (132 €), der Trend bleibt intakt.</w:t>
            </w:r>
          </w:p>
          <w:p>
            <w:pPr>
              <w:spacing w:after="60" w:before="60"/>
            </w:pPr>
            <w:r>
              <w:rPr>
                <w:rFonts w:ascii="Arial" w:cs="Arial" w:eastAsia="Arial" w:hAnsi="Arial"/>
                <w:b/>
                <w:bCs/>
                <w:color w:val="1F3864"/>
                <w:sz w:val="20"/>
                <w:szCs w:val="20"/>
              </w:rPr>
              <w:t xml:space="preserve">Wichtig: </w:t>
            </w:r>
            <w:r>
              <w:rPr>
                <w:rFonts w:ascii="Arial" w:cs="Arial" w:eastAsia="Arial" w:hAnsi="Arial"/>
                <w:b w:val="false"/>
                <w:bCs w:val="false"/>
                <w:color w:val="1F3864"/>
                <w:sz w:val="20"/>
                <w:szCs w:val="20"/>
              </w:rPr>
              <w:t xml:space="preserve">Golden/Death Cross sind lagging (nachlaufende) Indikatoren — sie bestätigen einen Trend, der bereits begonnen hat. Nicht als Einstiegssignal allein verwenden.</w:t>
            </w:r>
          </w:p>
        </w:tc>
      </w:tr>
    </w:tbl>
    <w:p>
      <w:pPr>
        <w:pageBreakBefore/>
      </w:pPr>
      <w:r>
        <w:br/>
      </w:r>
    </w:p>
    <w:p>
      <w:pPr>
        <w:pStyle w:val="Heading1"/>
        <w:pBdr>
          <w:bottom w:val="single" w:color="2E75B6" w:sz="8" w:space="4"/>
        </w:pBdr>
        <w:spacing w:after="200" w:before="360"/>
      </w:pPr>
      <w:r>
        <w:rPr>
          <w:rFonts w:ascii="Arial" w:cs="Arial" w:eastAsia="Arial" w:hAnsi="Arial"/>
          <w:b/>
          <w:bCs/>
          <w:color w:val="1F3864"/>
          <w:sz w:val="34"/>
          <w:szCs w:val="34"/>
        </w:rPr>
        <w:t xml:space="preserve">5  ADX — Average Directional Index</w:t>
      </w:r>
    </w:p>
    <w:p>
      <w:pPr>
        <w:spacing w:after="60" w:before="60"/>
      </w:pPr>
      <w:r>
        <w:rPr>
          <w:rFonts w:ascii="Arial" w:cs="Arial" w:eastAsia="Arial" w:hAnsi="Arial"/>
          <w:b/>
          <w:bCs/>
          <w:color w:val="1F3864"/>
        </w:rPr>
        <w:t xml:space="preserve">Entwickler: </w:t>
      </w:r>
      <w:r>
        <w:rPr>
          <w:rFonts w:ascii="Arial" w:cs="Arial" w:eastAsia="Arial" w:hAnsi="Arial"/>
        </w:rPr>
        <w:t xml:space="preserve">J. Welles Wilder (1978)  ·  </w:t>
      </w:r>
      <w:r>
        <w:rPr>
          <w:rFonts w:ascii="Arial" w:cs="Arial" w:eastAsia="Arial" w:hAnsi="Arial"/>
          <w:b/>
          <w:bCs/>
          <w:color w:val="1F3864"/>
        </w:rPr>
        <w:t xml:space="preserve">Standardeinstellung: </w:t>
      </w:r>
      <w:r>
        <w:rPr>
          <w:rFonts w:ascii="Arial" w:cs="Arial" w:eastAsia="Arial" w:hAnsi="Arial"/>
        </w:rPr>
        <w:t xml:space="preserve">14 Perioden</w:t>
      </w:r>
    </w:p>
    <w:p>
      <w:pPr>
        <w:spacing w:after="80" w:before="80"/>
      </w:pPr>
      <w:r>
        <w:rPr>
          <w:rFonts w:ascii="Arial" w:cs="Arial" w:eastAsia="Arial" w:hAnsi="Arial"/>
        </w:rPr>
        <w:t xml:space="preserve">Der ADX misst ausschließlich die STÄRKE eines Trends — nicht seine Richtung. Ob die Aktie steigt oder fällt, ist für den ADX irrelevant. Zusätzlich werden zwei Richtungsindikatoren berechnet: +DI (aufwärts) und −DI (abwärts).</w:t>
      </w:r>
    </w:p>
    <w:p>
      <w:pPr>
        <w:spacing w:after="110" w:before="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ADX-Wert</w:t>
            </w:r>
          </w:p>
        </w:tc>
        <w:tc>
          <w:tcPr>
            <w:tcW w:type="dxa" w:w="2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Trendstärke</w:t>
            </w:r>
          </w:p>
        </w:tc>
        <w:tc>
          <w:tcPr>
            <w:tcW w:type="dxa" w:w="5026"/>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Handlungsempfehlung</w:t>
            </w:r>
          </w:p>
        </w:tc>
      </w:tr>
      <w:tr>
        <w:tc>
          <w:tcPr>
            <w:tcW w:type="dxa" w:w="15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60" w:before="60"/>
              <w:jc w:val="left"/>
            </w:pPr>
            <w:r>
              <w:rPr>
                <w:rFonts w:ascii="Arial" w:cs="Arial" w:eastAsia="Arial" w:hAnsi="Arial"/>
                <w:b w:val="false"/>
                <w:bCs w:val="false"/>
                <w:color w:val="843C0C"/>
                <w:sz w:val="20"/>
                <w:szCs w:val="20"/>
              </w:rPr>
              <w:t xml:space="preserve">&lt; 15</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Kein Trend (Seitwärtsphase)</w:t>
            </w:r>
          </w:p>
        </w:tc>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Trendfolge-Indikatoren NICHT verwenden — viele Fehlsignale</w:t>
            </w:r>
          </w:p>
        </w:tc>
      </w:tr>
      <w:tr>
        <w:tc>
          <w:tcPr>
            <w:tcW w:type="dxa" w:w="15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60" w:before="60"/>
              <w:jc w:val="left"/>
            </w:pPr>
            <w:r>
              <w:rPr>
                <w:rFonts w:ascii="Arial" w:cs="Arial" w:eastAsia="Arial" w:hAnsi="Arial"/>
                <w:b w:val="false"/>
                <w:bCs w:val="false"/>
                <w:color w:val="7F6000"/>
                <w:sz w:val="20"/>
                <w:szCs w:val="20"/>
              </w:rPr>
              <w:t xml:space="preserve">15–25</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Schwacher Trend beginnt</w:t>
            </w:r>
          </w:p>
        </w:tc>
        <w:tc>
          <w:tcPr>
            <w:tcW w:type="dxa" w:w="50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Mit Vorsicht Trendfolge-Strategien einsetzen</w:t>
            </w:r>
          </w:p>
        </w:tc>
      </w:tr>
      <w:tr>
        <w:tc>
          <w:tcPr>
            <w:tcW w:type="dxa" w:w="15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60" w:before="60"/>
              <w:jc w:val="left"/>
            </w:pPr>
            <w:r>
              <w:rPr>
                <w:rFonts w:ascii="Arial" w:cs="Arial" w:eastAsia="Arial" w:hAnsi="Arial"/>
                <w:b w:val="false"/>
                <w:bCs w:val="false"/>
                <w:color w:val="375623"/>
                <w:sz w:val="20"/>
                <w:szCs w:val="20"/>
              </w:rPr>
              <w:t xml:space="preserve">25–40</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Starker Trend</w:t>
            </w:r>
          </w:p>
        </w:tc>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Trendfolge-Strategien funktionieren gut</w:t>
            </w:r>
          </w:p>
        </w:tc>
      </w:tr>
      <w:tr>
        <w:tc>
          <w:tcPr>
            <w:tcW w:type="dxa" w:w="1500"/>
            <w:tcBorders>
              <w:top w:val="single" w:color="CCCCCC" w:sz="4"/>
              <w:left w:val="single" w:color="CCCCCC" w:sz="4"/>
              <w:bottom w:val="single" w:color="CCCCCC" w:sz="4"/>
              <w:right w:val="single" w:color="CCCCCC" w:sz="4"/>
            </w:tcBorders>
            <w:shd w:fill="BDD7EE" w:val="clear"/>
            <w:tcMar>
              <w:top w:type="dxa" w:w="80"/>
              <w:left w:type="dxa" w:w="120"/>
              <w:bottom w:type="dxa" w:w="80"/>
              <w:right w:type="dxa" w:w="120"/>
            </w:tcMar>
          </w:tcPr>
          <w:p>
            <w:pPr>
              <w:spacing w:after="60" w:before="60"/>
              <w:jc w:val="left"/>
            </w:pPr>
            <w:r>
              <w:rPr>
                <w:rFonts w:ascii="Arial" w:cs="Arial" w:eastAsia="Arial" w:hAnsi="Arial"/>
                <w:b w:val="false"/>
                <w:bCs w:val="false"/>
                <w:color w:val="1F3864"/>
                <w:sz w:val="20"/>
                <w:szCs w:val="20"/>
              </w:rPr>
              <w:t xml:space="preserve">&gt; 40</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Sehr starker Trend</w:t>
            </w:r>
          </w:p>
        </w:tc>
        <w:tc>
          <w:tcPr>
            <w:tcW w:type="dxa" w:w="50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Trend reif — mögliche Erschöpfung prüfen</w:t>
            </w:r>
          </w:p>
        </w:tc>
      </w:tr>
      <w:tr>
        <w:tc>
          <w:tcPr>
            <w:tcW w:type="dxa" w:w="1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60" w:before="60"/>
              <w:jc w:val="left"/>
            </w:pPr>
            <w:r>
              <w:rPr>
                <w:rFonts w:ascii="Arial" w:cs="Arial" w:eastAsia="Arial" w:hAnsi="Arial"/>
                <w:b w:val="false"/>
                <w:bCs w:val="false"/>
                <w:color w:val="1F3864"/>
                <w:sz w:val="20"/>
                <w:szCs w:val="20"/>
              </w:rPr>
              <w:t xml:space="preserve">&gt; 50</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Extremer Trend (selten)</w:t>
            </w:r>
          </w:p>
        </w:tc>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Oft kurz vor einem Trendwechsel</w:t>
            </w:r>
          </w:p>
        </w:tc>
      </w:tr>
    </w:tbl>
    <w:p>
      <w:pPr>
        <w:spacing w:after="110" w:before="0"/>
      </w:pPr>
      <w:r>
        <w:rPr>
          <w:rFonts w:ascii="Arial" w:cs="Arial" w:eastAsia="Arial" w:hAnsi="Arial"/>
        </w:rPr>
        <w:t xml:space="preserve"/>
      </w:r>
    </w:p>
    <w:p>
      <w:pPr>
        <w:pStyle w:val="Heading2"/>
        <w:spacing w:after="120" w:before="260"/>
      </w:pPr>
      <w:r>
        <w:rPr>
          <w:rFonts w:ascii="Arial" w:cs="Arial" w:eastAsia="Arial" w:hAnsi="Arial"/>
          <w:b/>
          <w:bCs/>
          <w:color w:val="2E75B6"/>
          <w:sz w:val="26"/>
          <w:szCs w:val="26"/>
        </w:rPr>
        <w:t xml:space="preserve">5.1  ADX + DI-System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Signal</w:t>
            </w:r>
          </w:p>
        </w:tc>
        <w:tc>
          <w:tcPr>
            <w:tcW w:type="dxa" w:w="3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Bedingung</w:t>
            </w:r>
          </w:p>
        </w:tc>
        <w:tc>
          <w:tcPr>
            <w:tcW w:type="dxa" w:w="3326"/>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Bedeutung</w:t>
            </w:r>
          </w:p>
        </w:tc>
      </w:tr>
      <w:tr>
        <w:tc>
          <w:tcPr>
            <w:tcW w:type="dxa" w:w="22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60" w:before="60"/>
              <w:jc w:val="left"/>
            </w:pPr>
            <w:r>
              <w:rPr>
                <w:rFonts w:ascii="Arial" w:cs="Arial" w:eastAsia="Arial" w:hAnsi="Arial"/>
                <w:b w:val="false"/>
                <w:bCs w:val="false"/>
                <w:color w:val="375623"/>
                <w:sz w:val="20"/>
                <w:szCs w:val="20"/>
              </w:rPr>
              <w:t xml:space="preserve">Bullischer Einstieg</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+DI kreuzt −DI von unten + ADX steigt über 20</w:t>
            </w:r>
          </w:p>
        </w:tc>
        <w:tc>
          <w:tcPr>
            <w:tcW w:type="dxa" w:w="3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Aufwärtstrend beginnt sich zu etablieren</w:t>
            </w:r>
          </w:p>
        </w:tc>
      </w:tr>
      <w:tr>
        <w:tc>
          <w:tcPr>
            <w:tcW w:type="dxa" w:w="22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60" w:before="60"/>
              <w:jc w:val="left"/>
            </w:pPr>
            <w:r>
              <w:rPr>
                <w:rFonts w:ascii="Arial" w:cs="Arial" w:eastAsia="Arial" w:hAnsi="Arial"/>
                <w:b w:val="false"/>
                <w:bCs w:val="false"/>
                <w:color w:val="843C0C"/>
                <w:sz w:val="20"/>
                <w:szCs w:val="20"/>
              </w:rPr>
              <w:t xml:space="preserve">Bärischer Einstieg</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−DI kreuzt +DI von unten + ADX steigt über 20</w:t>
            </w:r>
          </w:p>
        </w:tc>
        <w:tc>
          <w:tcPr>
            <w:tcW w:type="dxa" w:w="33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Abwärtstrend beginnt sich zu etablieren</w:t>
            </w:r>
          </w:p>
        </w:tc>
      </w:tr>
      <w:tr>
        <w:tc>
          <w:tcPr>
            <w:tcW w:type="dxa" w:w="22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60" w:before="60"/>
              <w:jc w:val="left"/>
            </w:pPr>
            <w:r>
              <w:rPr>
                <w:rFonts w:ascii="Arial" w:cs="Arial" w:eastAsia="Arial" w:hAnsi="Arial"/>
                <w:b w:val="false"/>
                <w:bCs w:val="false"/>
                <w:color w:val="7F6000"/>
                <w:sz w:val="20"/>
                <w:szCs w:val="20"/>
              </w:rPr>
              <w:t xml:space="preserve">Trenderschöpfung</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ADX sinkt von hohem Niveau + DI-Linien konvergieren</w:t>
            </w:r>
          </w:p>
        </w:tc>
        <w:tc>
          <w:tcPr>
            <w:tcW w:type="dxa" w:w="3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Trend verliert Kraft — Ausstieg prüfen</w:t>
            </w:r>
          </w:p>
        </w:tc>
      </w:tr>
    </w:tbl>
    <w:p>
      <w:pPr>
        <w:spacing w:after="110" w:before="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FFF2CC" w:val="clear"/>
            <w:tcMar>
              <w:top w:type="dxa" w:w="120"/>
              <w:left w:type="dxa" w:w="180"/>
              <w:bottom w:type="dxa" w:w="120"/>
              <w:right w:type="dxa" w:w="180"/>
            </w:tcMar>
          </w:tcPr>
          <w:p>
            <w:pPr>
              <w:spacing w:after="60" w:before="60"/>
            </w:pPr>
            <w:r>
              <w:rPr>
                <w:rFonts w:ascii="Arial" w:cs="Arial" w:eastAsia="Arial" w:hAnsi="Arial"/>
                <w:b/>
                <w:bCs/>
                <w:color w:val="7F6000"/>
                <w:sz w:val="20"/>
                <w:szCs w:val="20"/>
              </w:rPr>
              <w:t xml:space="preserve">ENR aktuell (ADX ~13): </w:t>
            </w:r>
            <w:r>
              <w:rPr>
                <w:rFonts w:ascii="Arial" w:cs="Arial" w:eastAsia="Arial" w:hAnsi="Arial"/>
                <w:b w:val="false"/>
                <w:bCs w:val="false"/>
                <w:color w:val="7F6000"/>
                <w:sz w:val="20"/>
                <w:szCs w:val="20"/>
              </w:rPr>
              <w:t xml:space="preserve">ADX unter 15 bedeutet: Es gibt keinen klaren Trend — ENR befindet sich in einer trendlosen Konsolidierungsphase. RSI, MACD und andere Trendindikatoren liefern in solchen Phasen überdurchschnittlich viele Fehlsignale. Dies ist ein Argument für Geduld beim Einstieg — auf klares Trend-Wiederaufnahme-Signal warten.</w:t>
            </w:r>
          </w:p>
        </w:tc>
      </w:tr>
    </w:tbl>
    <w:p>
      <w:pPr>
        <w:pageBreakBefore/>
      </w:pPr>
      <w:r>
        <w:br/>
      </w:r>
    </w:p>
    <w:p>
      <w:pPr>
        <w:pStyle w:val="Heading1"/>
        <w:pBdr>
          <w:bottom w:val="single" w:color="2E75B6" w:sz="8" w:space="4"/>
        </w:pBdr>
        <w:spacing w:after="200" w:before="360"/>
      </w:pPr>
      <w:r>
        <w:rPr>
          <w:rFonts w:ascii="Arial" w:cs="Arial" w:eastAsia="Arial" w:hAnsi="Arial"/>
          <w:b/>
          <w:bCs/>
          <w:color w:val="1F3864"/>
          <w:sz w:val="34"/>
          <w:szCs w:val="34"/>
        </w:rPr>
        <w:t xml:space="preserve">6  Stochastik-Oszillator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shd w:fill="FFFFFF" w:val="clear"/>
            <w:tcMar>
              <w:top w:type="dxa" w:w="60"/>
              <w:left w:type="dxa" w:w="60"/>
              <w:bottom w:type="dxa" w:w="60"/>
              <w:right w:type="dxa" w:w="60"/>
            </w:tcMar>
          </w:tcPr>
          <w:p>
            <w:pPr>
              <w:jc w:val="center"/>
            </w:pPr>
            <w:r>
              <w:drawing>
                <wp:inline distT="0" distB="0" distL="0" distR="0">
                  <wp:extent cx="2809875"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09875" cy="1857375"/>
                          </a:xfrm>
                          <a:prstGeom prst="rect">
                            <a:avLst/>
                          </a:prstGeom>
                        </pic:spPr>
                      </pic:pic>
                    </a:graphicData>
                  </a:graphic>
                </wp:inline>
              </w:drawing>
            </w:r>
          </w:p>
        </w:tc>
        <w:tc>
          <w:tcPr>
            <w:tcW w:type="dxa" w:w="4513"/>
            <w:tcBorders>
              <w:top w:val="none" w:color="FFFFFF" w:sz="0"/>
              <w:left w:val="none" w:color="FFFFFF" w:sz="0"/>
              <w:bottom w:val="none" w:color="FFFFFF" w:sz="0"/>
              <w:right w:val="none" w:color="FFFFFF" w:sz="0"/>
            </w:tcBorders>
            <w:shd w:fill="FFFFFF" w:val="clear"/>
            <w:tcMar>
              <w:top w:type="dxa" w:w="60"/>
              <w:left w:type="dxa" w:w="60"/>
              <w:bottom w:type="dxa" w:w="60"/>
              <w:right w:type="dxa" w:w="60"/>
            </w:tcMar>
          </w:tcPr>
          <w:p>
            <w:pPr>
              <w:jc w:val="center"/>
            </w:pPr>
            <w:r>
              <w:drawing>
                <wp:inline distT="0" distB="0" distL="0" distR="0">
                  <wp:extent cx="2809875"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09875" cy="2000250"/>
                          </a:xfrm>
                          <a:prstGeom prst="rect">
                            <a:avLst/>
                          </a:prstGeom>
                        </pic:spPr>
                      </pic:pic>
                    </a:graphicData>
                  </a:graphic>
                </wp:inline>
              </w:drawing>
            </w:r>
          </w:p>
        </w:tc>
      </w:tr>
    </w:tbl>
    <w:p>
      <w:pPr>
        <w:spacing w:after="110" w:before="0"/>
      </w:pPr>
      <w:r>
        <w:rPr>
          <w:rFonts w:ascii="Arial" w:cs="Arial" w:eastAsia="Arial" w:hAnsi="Arial"/>
        </w:rPr>
        <w:t xml:space="preserve"/>
      </w:r>
    </w:p>
    <w:p>
      <w:pPr>
        <w:spacing w:after="60" w:before="60"/>
      </w:pPr>
      <w:r>
        <w:rPr>
          <w:rFonts w:ascii="Arial" w:cs="Arial" w:eastAsia="Arial" w:hAnsi="Arial"/>
          <w:b/>
          <w:bCs/>
          <w:color w:val="1F3864"/>
        </w:rPr>
        <w:t xml:space="preserve">Entwickler: </w:t>
      </w:r>
      <w:r>
        <w:rPr>
          <w:rFonts w:ascii="Arial" w:cs="Arial" w:eastAsia="Arial" w:hAnsi="Arial"/>
        </w:rPr>
        <w:t xml:space="preserve">George Lane (1950er)  ·  </w:t>
      </w:r>
      <w:r>
        <w:rPr>
          <w:rFonts w:ascii="Arial" w:cs="Arial" w:eastAsia="Arial" w:hAnsi="Arial"/>
          <w:b/>
          <w:bCs/>
          <w:color w:val="1F3864"/>
        </w:rPr>
        <w:t xml:space="preserve">Standardeinstellung: </w:t>
      </w:r>
      <w:r>
        <w:rPr>
          <w:rFonts w:ascii="Arial" w:cs="Arial" w:eastAsia="Arial" w:hAnsi="Arial"/>
        </w:rPr>
        <w:t xml:space="preserve">%K(14,3,3)</w:t>
      </w:r>
    </w:p>
    <w:p>
      <w:pPr>
        <w:spacing w:after="60" w:before="60"/>
      </w:pPr>
      <w:r>
        <w:rPr>
          <w:rFonts w:ascii="Arial" w:cs="Arial" w:eastAsia="Arial" w:hAnsi="Arial"/>
          <w:b/>
          <w:bCs/>
          <w:color w:val="1F3864"/>
        </w:rPr>
        <w:t xml:space="preserve">Formel %K: </w:t>
      </w:r>
      <w:r>
        <w:rPr>
          <w:rFonts w:ascii="Arial" w:cs="Arial" w:eastAsia="Arial" w:hAnsi="Arial"/>
        </w:rPr>
        <w:t xml:space="preserve">(Aktueller Kurs − Tiefstkurs 14 Tage) ÷ (Höchstkurs 14 Tage − Tiefstkurs 14 Tage) × 100  ·  </w:t>
      </w:r>
      <w:r>
        <w:rPr>
          <w:rFonts w:ascii="Arial" w:cs="Arial" w:eastAsia="Arial" w:hAnsi="Arial"/>
          <w:b/>
          <w:bCs/>
          <w:color w:val="1F3864"/>
        </w:rPr>
        <w:t xml:space="preserve">%D: </w:t>
      </w:r>
      <w:r>
        <w:rPr>
          <w:rFonts w:ascii="Arial" w:cs="Arial" w:eastAsia="Arial" w:hAnsi="Arial"/>
        </w:rPr>
        <w:t xml:space="preserve">3-Tage-SMA von %K</w:t>
      </w:r>
    </w:p>
    <w:p>
      <w:pPr>
        <w:spacing w:after="110" w:before="0"/>
      </w:pPr>
      <w:r>
        <w:rPr>
          <w:rFonts w:ascii="Arial" w:cs="Arial" w:eastAsia="Arial" w:hAnsi="Arial"/>
        </w:rPr>
        <w:t xml:space="preserve"/>
      </w:r>
    </w:p>
    <w:p>
      <w:pPr>
        <w:pStyle w:val="Heading2"/>
        <w:spacing w:after="120" w:before="260"/>
      </w:pPr>
      <w:r>
        <w:rPr>
          <w:rFonts w:ascii="Arial" w:cs="Arial" w:eastAsia="Arial" w:hAnsi="Arial"/>
          <w:b/>
          <w:bCs/>
          <w:color w:val="2E75B6"/>
          <w:sz w:val="26"/>
          <w:szCs w:val="26"/>
        </w:rPr>
        <w:t xml:space="preserve">6.1  Stochastik-Signale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Signal</w:t>
            </w:r>
          </w:p>
        </w:tc>
        <w:tc>
          <w:tcPr>
            <w:tcW w:type="dxa" w:w="3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Beschreibung</w:t>
            </w:r>
          </w:p>
        </w:tc>
        <w:tc>
          <w:tcPr>
            <w:tcW w:type="dxa" w:w="3026"/>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Anwendung</w:t>
            </w:r>
          </w:p>
        </w:tc>
      </w:tr>
      <w:tr>
        <w:tc>
          <w:tcPr>
            <w:tcW w:type="dxa" w:w="2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60" w:before="60"/>
              <w:jc w:val="left"/>
            </w:pPr>
            <w:r>
              <w:rPr>
                <w:rFonts w:ascii="Arial" w:cs="Arial" w:eastAsia="Arial" w:hAnsi="Arial"/>
                <w:b w:val="false"/>
                <w:bCs w:val="false"/>
                <w:color w:val="375623"/>
                <w:sz w:val="20"/>
                <w:szCs w:val="20"/>
              </w:rPr>
              <w:t xml:space="preserve">Überverkauft &lt; 20</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%K unter 20: Kurs am unteren Ende der 14-Tage-Range</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Kauf-Zone, Einstieg prüfen</w:t>
            </w:r>
          </w:p>
        </w:tc>
      </w:tr>
      <w:tr>
        <w:tc>
          <w:tcPr>
            <w:tcW w:type="dxa" w:w="2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60" w:before="60"/>
              <w:jc w:val="left"/>
            </w:pPr>
            <w:r>
              <w:rPr>
                <w:rFonts w:ascii="Arial" w:cs="Arial" w:eastAsia="Arial" w:hAnsi="Arial"/>
                <w:b w:val="false"/>
                <w:bCs w:val="false"/>
                <w:color w:val="843C0C"/>
                <w:sz w:val="20"/>
                <w:szCs w:val="20"/>
              </w:rPr>
              <w:t xml:space="preserve">Überkauft &gt; 80</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%K über 80: Kurs am oberen Ende der 14-Tage-Range</w:t>
            </w:r>
          </w:p>
        </w:tc>
        <w:tc>
          <w:tcPr>
            <w:tcW w:type="dxa" w:w="30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Verkauf-Zone, Ausstieg prüfen</w:t>
            </w:r>
          </w:p>
        </w:tc>
      </w:tr>
      <w:tr>
        <w:tc>
          <w:tcPr>
            <w:tcW w:type="dxa" w:w="24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60" w:before="60"/>
              <w:jc w:val="left"/>
            </w:pPr>
            <w:r>
              <w:rPr>
                <w:rFonts w:ascii="Arial" w:cs="Arial" w:eastAsia="Arial" w:hAnsi="Arial"/>
                <w:b w:val="false"/>
                <w:bCs w:val="false"/>
                <w:color w:val="375623"/>
                <w:sz w:val="20"/>
                <w:szCs w:val="20"/>
              </w:rPr>
              <w:t xml:space="preserve">Bull-Crossover überverkauft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%K kreuzt %D von unten, beide unter 20</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Starkes Kaufsignal — Trendumkehr möglich</w:t>
            </w:r>
          </w:p>
        </w:tc>
      </w:tr>
      <w:tr>
        <w:tc>
          <w:tcPr>
            <w:tcW w:type="dxa" w:w="24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60" w:before="60"/>
              <w:jc w:val="left"/>
            </w:pPr>
            <w:r>
              <w:rPr>
                <w:rFonts w:ascii="Arial" w:cs="Arial" w:eastAsia="Arial" w:hAnsi="Arial"/>
                <w:b w:val="false"/>
                <w:bCs w:val="false"/>
                <w:color w:val="843C0C"/>
                <w:sz w:val="20"/>
                <w:szCs w:val="20"/>
              </w:rPr>
              <w:t xml:space="preserve">Bear-Crossover überkauft</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%K kreuzt %D von oben, beide über 80</w:t>
            </w:r>
          </w:p>
        </w:tc>
        <w:tc>
          <w:tcPr>
            <w:tcW w:type="dxa" w:w="30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Starkes Verkaufssignal</w:t>
            </w:r>
          </w:p>
        </w:tc>
      </w:tr>
      <w:t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60" w:before="60"/>
              <w:jc w:val="left"/>
            </w:pPr>
            <w:r>
              <w:rPr>
                <w:rFonts w:ascii="Arial" w:cs="Arial" w:eastAsia="Arial" w:hAnsi="Arial"/>
                <w:b w:val="false"/>
                <w:bCs w:val="false"/>
                <w:color w:val="1F3864"/>
                <w:sz w:val="20"/>
                <w:szCs w:val="20"/>
              </w:rPr>
              <w:t xml:space="preserve">Stochastik-Divergenz</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Preis neues Hoch/Tief, Stochastik nicht</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Ähnlich RSI-Divergenz — sehr zuverlässig</w:t>
            </w:r>
          </w:p>
        </w:tc>
      </w:tr>
    </w:tbl>
    <w:p>
      <w:pPr>
        <w:spacing w:after="110" w:before="0"/>
      </w:pPr>
      <w:r>
        <w:rPr>
          <w:rFonts w:ascii="Arial" w:cs="Arial" w:eastAsia="Arial" w:hAnsi="Arial"/>
        </w:rPr>
        <w:t xml:space="preserve"/>
      </w:r>
    </w:p>
    <w:p>
      <w:pPr>
        <w:pStyle w:val="Heading2"/>
        <w:spacing w:after="120" w:before="260"/>
      </w:pPr>
      <w:r>
        <w:rPr>
          <w:rFonts w:ascii="Arial" w:cs="Arial" w:eastAsia="Arial" w:hAnsi="Arial"/>
          <w:b/>
          <w:bCs/>
          <w:color w:val="2E75B6"/>
          <w:sz w:val="26"/>
          <w:szCs w:val="26"/>
        </w:rPr>
        <w:t xml:space="preserve">6.2  Stochastik vs. RSI — Wann welchen?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Kriterium</w:t>
            </w:r>
          </w:p>
        </w:tc>
        <w:tc>
          <w:tcPr>
            <w:tcW w:type="dxa" w:w="3013"/>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RSI</w:t>
            </w:r>
          </w:p>
        </w:tc>
        <w:tc>
          <w:tcPr>
            <w:tcW w:type="dxa" w:w="3013"/>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Stochastik</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Marktumfeld</w:t>
            </w:r>
          </w:p>
        </w:tc>
        <w:tc>
          <w:tcPr>
            <w:tcW w:type="dxa" w:w="30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Trendmärkte</w:t>
            </w:r>
          </w:p>
        </w:tc>
        <w:tc>
          <w:tcPr>
            <w:tcW w:type="dxa" w:w="30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Seitwärtsmärkte</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Reaktionsgeschwindigkeit</w:t>
            </w:r>
          </w:p>
        </w:tc>
        <w:tc>
          <w:tcPr>
            <w:tcW w:type="dxa" w:w="3013"/>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Etwas langsamer</w:t>
            </w:r>
          </w:p>
        </w:tc>
        <w:tc>
          <w:tcPr>
            <w:tcW w:type="dxa" w:w="3013"/>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Schneller (mehr Fehlsignale)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Divergenz-Analyse</w:t>
            </w:r>
          </w:p>
        </w:tc>
        <w:tc>
          <w:tcPr>
            <w:tcW w:type="dxa" w:w="30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Sehr gut geeignet</w:t>
            </w:r>
          </w:p>
        </w:tc>
        <w:tc>
          <w:tcPr>
            <w:tcW w:type="dxa" w:w="30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Gut geeignet</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Overextension in Trends</w:t>
            </w:r>
          </w:p>
        </w:tc>
        <w:tc>
          <w:tcPr>
            <w:tcW w:type="dxa" w:w="3013"/>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Kann lange überkauft bleiben</w:t>
            </w:r>
          </w:p>
        </w:tc>
        <w:tc>
          <w:tcPr>
            <w:tcW w:type="dxa" w:w="3013"/>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Gleiche Schwäche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Empfehlung</w:t>
            </w:r>
          </w:p>
        </w:tc>
        <w:tc>
          <w:tcPr>
            <w:tcW w:type="dxa" w:w="30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Primärindikator</w:t>
            </w:r>
          </w:p>
        </w:tc>
        <w:tc>
          <w:tcPr>
            <w:tcW w:type="dxa" w:w="301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Bestätigung / Seitwärtsmarkt</w:t>
            </w:r>
          </w:p>
        </w:tc>
      </w:tr>
    </w:tbl>
    <w:p>
      <w:pPr>
        <w:pageBreakBefore/>
      </w:pPr>
      <w:r>
        <w:br/>
      </w:r>
    </w:p>
    <w:p>
      <w:pPr>
        <w:pStyle w:val="Heading1"/>
        <w:pBdr>
          <w:bottom w:val="single" w:color="2E75B6" w:sz="8" w:space="4"/>
        </w:pBdr>
        <w:spacing w:after="200" w:before="360"/>
      </w:pPr>
      <w:r>
        <w:rPr>
          <w:rFonts w:ascii="Arial" w:cs="Arial" w:eastAsia="Arial" w:hAnsi="Arial"/>
          <w:b/>
          <w:bCs/>
          <w:color w:val="1F3864"/>
          <w:sz w:val="34"/>
          <w:szCs w:val="34"/>
        </w:rPr>
        <w:t xml:space="preserve">7  Volumen-Analyse</w:t>
      </w:r>
    </w:p>
    <w:p>
      <w:pPr>
        <w:spacing w:after="120" w:before="120"/>
        <w:jc w:val="center"/>
      </w:pPr>
      <w:r>
        <w:drawing>
          <wp:inline distT="0" distB="0" distL="0" distR="0">
            <wp:extent cx="5334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000250"/>
                    </a:xfrm>
                    <a:prstGeom prst="rect">
                      <a:avLst/>
                    </a:prstGeom>
                  </pic:spPr>
                </pic:pic>
              </a:graphicData>
            </a:graphic>
          </wp:inline>
        </w:drawing>
      </w:r>
    </w:p>
    <w:p>
      <w:pPr>
        <w:spacing w:after="110" w:before="0"/>
      </w:pPr>
      <w:r>
        <w:rPr>
          <w:rFonts w:ascii="Arial" w:cs="Arial" w:eastAsia="Arial" w:hAnsi="Arial"/>
        </w:rPr>
        <w:t xml:space="preserve"/>
      </w:r>
    </w:p>
    <w:p>
      <w:pPr>
        <w:spacing w:after="80" w:before="80"/>
      </w:pPr>
      <w:r>
        <w:rPr>
          <w:rFonts w:ascii="Arial" w:cs="Arial" w:eastAsia="Arial" w:hAnsi="Arial"/>
        </w:rPr>
        <w:t xml:space="preserve">Das Volumen ist der oft unterschätzte Kontext hinter jeder Kursbewegung. Eine Kursbewegung ohne Volumen ist ein Signal ohne Überzeugung — eine Kursbewegung mit hohem Volumen ist ein starkes Commitment der Marktteilnehmer.</w:t>
      </w:r>
    </w:p>
    <w:p>
      <w:pPr>
        <w:spacing w:after="110" w:before="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500"/>
        <w:gridCol w:w="2126"/>
      </w:tblGrid>
      <w:tr>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Situation</w:t>
            </w:r>
          </w:p>
        </w:tc>
        <w:tc>
          <w:tcPr>
            <w:tcW w:type="dxa" w:w="1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Volumen</w:t>
            </w:r>
          </w:p>
        </w:tc>
        <w:tc>
          <w:tcPr>
            <w:tcW w:type="dxa" w:w="3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Interpretation</w:t>
            </w:r>
          </w:p>
        </w:tc>
        <w:tc>
          <w:tcPr>
            <w:tcW w:type="dxa" w:w="2126"/>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Qualität des Signals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Kurs steigt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Hoch</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Ausbruch oder Trendfortsetzung — starke Überzeugung</w:t>
            </w:r>
          </w:p>
        </w:tc>
        <w:tc>
          <w:tcPr>
            <w:tcW w:type="dxa" w:w="2126"/>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60" w:before="60"/>
              <w:jc w:val="center"/>
            </w:pPr>
            <w:r>
              <w:rPr>
                <w:rFonts w:ascii="Arial" w:cs="Arial" w:eastAsia="Arial" w:hAnsi="Arial"/>
                <w:b w:val="false"/>
                <w:bCs w:val="false"/>
                <w:color w:val="375623"/>
                <w:sz w:val="20"/>
                <w:szCs w:val="20"/>
              </w:rPr>
              <w:t xml:space="preserve">★★★★★  Sehr verlässlich</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Kurs steigt</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Niedrig</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Rally ohne Überzeugung — möglicherweise bald erschöpft</w:t>
            </w:r>
          </w:p>
        </w:tc>
        <w:tc>
          <w:tcPr>
            <w:tcW w:type="dxa" w:w="2126"/>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60" w:before="60"/>
              <w:jc w:val="center"/>
            </w:pPr>
            <w:r>
              <w:rPr>
                <w:rFonts w:ascii="Arial" w:cs="Arial" w:eastAsia="Arial" w:hAnsi="Arial"/>
                <w:b w:val="false"/>
                <w:bCs w:val="false"/>
                <w:color w:val="843C0C"/>
                <w:sz w:val="20"/>
                <w:szCs w:val="20"/>
              </w:rPr>
              <w:t xml:space="preserve">★★☆☆☆  Warnsignal</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Kurs fällt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Hoch</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Starker Verkaufsdruck — Trendwechsel möglich</w:t>
            </w:r>
          </w:p>
        </w:tc>
        <w:tc>
          <w:tcPr>
            <w:tcW w:type="dxa" w:w="2126"/>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60" w:before="60"/>
              <w:jc w:val="center"/>
            </w:pPr>
            <w:r>
              <w:rPr>
                <w:rFonts w:ascii="Arial" w:cs="Arial" w:eastAsia="Arial" w:hAnsi="Arial"/>
                <w:b w:val="false"/>
                <w:bCs w:val="false"/>
                <w:color w:val="843C0C"/>
                <w:sz w:val="20"/>
                <w:szCs w:val="20"/>
              </w:rPr>
              <w:t xml:space="preserve">★★★★☆  Bearish, ernst nehmen</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Kurs fällt</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Niedrig</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Gesunde Korrektur innerhalb Aufwärtstrend</w:t>
            </w:r>
          </w:p>
        </w:tc>
        <w:tc>
          <w:tcPr>
            <w:tcW w:type="dxa" w:w="2126"/>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60" w:before="60"/>
              <w:jc w:val="center"/>
            </w:pPr>
            <w:r>
              <w:rPr>
                <w:rFonts w:ascii="Arial" w:cs="Arial" w:eastAsia="Arial" w:hAnsi="Arial"/>
                <w:b w:val="false"/>
                <w:bCs w:val="false"/>
                <w:color w:val="375623"/>
                <w:sz w:val="20"/>
                <w:szCs w:val="20"/>
              </w:rPr>
              <w:t xml:space="preserve">★★★★☆  Normal, kein Alarm</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Seitwärts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Sehr niedrig</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Bollinger Squeeze — Ausbruch steht bevor</w:t>
            </w:r>
          </w:p>
        </w:tc>
        <w:tc>
          <w:tcPr>
            <w:tcW w:type="dxa" w:w="2126"/>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60" w:before="60"/>
              <w:jc w:val="center"/>
            </w:pPr>
            <w:r>
              <w:rPr>
                <w:rFonts w:ascii="Arial" w:cs="Arial" w:eastAsia="Arial" w:hAnsi="Arial"/>
                <w:b w:val="false"/>
                <w:bCs w:val="false"/>
                <w:color w:val="1F3864"/>
                <w:sz w:val="20"/>
                <w:szCs w:val="20"/>
              </w:rPr>
              <w:t xml:space="preserve">★★★★★  Vorläufer-Signal</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Ausbruch über Widerstand</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Sehr hoch</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Echter Ausbruch bestätigt</w:t>
            </w:r>
          </w:p>
        </w:tc>
        <w:tc>
          <w:tcPr>
            <w:tcW w:type="dxa" w:w="2126"/>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60" w:before="60"/>
              <w:jc w:val="center"/>
            </w:pPr>
            <w:r>
              <w:rPr>
                <w:rFonts w:ascii="Arial" w:cs="Arial" w:eastAsia="Arial" w:hAnsi="Arial"/>
                <w:b w:val="false"/>
                <w:bCs w:val="false"/>
                <w:color w:val="375623"/>
                <w:sz w:val="20"/>
                <w:szCs w:val="20"/>
              </w:rPr>
              <w:t xml:space="preserve">★★★★★  Höchste Überzeugung</w:t>
            </w:r>
          </w:p>
        </w:tc>
      </w:tr>
    </w:tbl>
    <w:p>
      <w:pPr>
        <w:spacing w:after="110" w:before="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D5E8F0" w:val="clear"/>
            <w:tcMar>
              <w:top w:type="dxa" w:w="120"/>
              <w:left w:type="dxa" w:w="180"/>
              <w:bottom w:type="dxa" w:w="120"/>
              <w:right w:type="dxa" w:w="180"/>
            </w:tcMar>
          </w:tcPr>
          <w:p>
            <w:pPr>
              <w:spacing w:after="60" w:before="60"/>
            </w:pPr>
            <w:r>
              <w:rPr>
                <w:rFonts w:ascii="Arial" w:cs="Arial" w:eastAsia="Arial" w:hAnsi="Arial"/>
                <w:b/>
                <w:bCs/>
                <w:color w:val="1F3864"/>
                <w:sz w:val="20"/>
                <w:szCs w:val="20"/>
              </w:rPr>
              <w:t xml:space="preserve">On-Balance Volume (OBV): </w:t>
            </w:r>
            <w:r>
              <w:rPr>
                <w:rFonts w:ascii="Arial" w:cs="Arial" w:eastAsia="Arial" w:hAnsi="Arial"/>
                <w:b w:val="false"/>
                <w:bCs w:val="false"/>
                <w:color w:val="1F3864"/>
                <w:sz w:val="20"/>
                <w:szCs w:val="20"/>
              </w:rPr>
              <w:t xml:space="preserve">OBV addiert das Volumen an Aufwärtstagen und subtrahiert es an Abwärtstagen. Steigt der OBV, während der Kurs seitwärts läuft → akkumuliert jemand still. Fällt der OBV trotz steigendem Kurs → Distribution (Verkauf in Stärke). OBV ist in TradingView als eigener Indikator verfügbar.</w:t>
            </w:r>
          </w:p>
          <w:p>
            <w:pPr>
              <w:spacing w:after="60" w:before="60"/>
            </w:pPr>
            <w:r>
              <w:rPr>
                <w:rFonts w:ascii="Arial" w:cs="Arial" w:eastAsia="Arial" w:hAnsi="Arial"/>
                <w:b/>
                <w:bCs/>
                <w:color w:val="1F3864"/>
                <w:sz w:val="20"/>
                <w:szCs w:val="20"/>
              </w:rPr>
              <w:t xml:space="preserve">TradingView Tipp: </w:t>
            </w:r>
            <w:r>
              <w:rPr>
                <w:rFonts w:ascii="Arial" w:cs="Arial" w:eastAsia="Arial" w:hAnsi="Arial"/>
                <w:b w:val="false"/>
                <w:bCs w:val="false"/>
                <w:color w:val="1F3864"/>
                <w:sz w:val="20"/>
                <w:szCs w:val="20"/>
              </w:rPr>
              <w:t xml:space="preserve">Volumen-Durchschnitt (20 Tage) als Referenz einblenden. Balken deutlich über dem Durchschnitt sind die wichtigen. Alles darunter ist 'Rauschen'.</w:t>
            </w:r>
          </w:p>
        </w:tc>
      </w:tr>
    </w:tbl>
    <w:p>
      <w:pPr>
        <w:pageBreakBefore/>
      </w:pPr>
      <w:r>
        <w:br/>
      </w:r>
    </w:p>
    <w:p>
      <w:pPr>
        <w:pStyle w:val="Heading1"/>
        <w:pBdr>
          <w:bottom w:val="single" w:color="2E75B6" w:sz="8" w:space="4"/>
        </w:pBdr>
        <w:spacing w:after="200" w:before="360"/>
      </w:pPr>
      <w:r>
        <w:rPr>
          <w:rFonts w:ascii="Arial" w:cs="Arial" w:eastAsia="Arial" w:hAnsi="Arial"/>
          <w:b/>
          <w:bCs/>
          <w:color w:val="1F3864"/>
          <w:sz w:val="34"/>
          <w:szCs w:val="34"/>
        </w:rPr>
        <w:t xml:space="preserve">8  ATR — Average True Range (Volatilität)</w:t>
      </w:r>
    </w:p>
    <w:p>
      <w:pPr>
        <w:spacing w:after="60" w:before="60"/>
      </w:pPr>
      <w:r>
        <w:rPr>
          <w:rFonts w:ascii="Arial" w:cs="Arial" w:eastAsia="Arial" w:hAnsi="Arial"/>
          <w:b/>
          <w:bCs/>
          <w:color w:val="1F3864"/>
        </w:rPr>
        <w:t xml:space="preserve">Entwickler: </w:t>
      </w:r>
      <w:r>
        <w:rPr>
          <w:rFonts w:ascii="Arial" w:cs="Arial" w:eastAsia="Arial" w:hAnsi="Arial"/>
        </w:rPr>
        <w:t xml:space="preserve">J. Welles Wilder (1978)  ·  </w:t>
      </w:r>
      <w:r>
        <w:rPr>
          <w:rFonts w:ascii="Arial" w:cs="Arial" w:eastAsia="Arial" w:hAnsi="Arial"/>
          <w:b/>
          <w:bCs/>
          <w:color w:val="1F3864"/>
        </w:rPr>
        <w:t xml:space="preserve">Standardeinstellung: </w:t>
      </w:r>
      <w:r>
        <w:rPr>
          <w:rFonts w:ascii="Arial" w:cs="Arial" w:eastAsia="Arial" w:hAnsi="Arial"/>
        </w:rPr>
        <w:t xml:space="preserve">14 Perioden</w:t>
      </w:r>
    </w:p>
    <w:p>
      <w:pPr>
        <w:spacing w:after="80" w:before="80"/>
      </w:pPr>
      <w:r>
        <w:rPr>
          <w:rFonts w:ascii="Arial" w:cs="Arial" w:eastAsia="Arial" w:hAnsi="Arial"/>
        </w:rPr>
        <w:t xml:space="preserve">Der ATR misst die durchschnittliche tägliche Kursschwankungsbreite. Er zeigt nicht die Richtung, sondern wie stark eine Aktie typischerweise pro Tag schwankt. Er ist unverzichtbar für das Stop-Loss-Management und die Positionsgröße.</w:t>
      </w:r>
    </w:p>
    <w:p>
      <w:pPr>
        <w:spacing w:after="110" w:before="0"/>
      </w:pPr>
      <w:r>
        <w:rPr>
          <w:rFonts w:ascii="Arial" w:cs="Arial" w:eastAsia="Arial" w:hAnsi="Arial"/>
        </w:rPr>
        <w:t xml:space="preserve"/>
      </w:r>
    </w:p>
    <w:p>
      <w:pPr>
        <w:pStyle w:val="Heading2"/>
        <w:spacing w:after="120" w:before="260"/>
      </w:pPr>
      <w:r>
        <w:rPr>
          <w:rFonts w:ascii="Arial" w:cs="Arial" w:eastAsia="Arial" w:hAnsi="Arial"/>
          <w:b/>
          <w:bCs/>
          <w:color w:val="2E75B6"/>
          <w:sz w:val="26"/>
          <w:szCs w:val="26"/>
        </w:rPr>
        <w:t xml:space="preserve">8.1  ATR-basiertes Stop-Loss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Strategie</w:t>
            </w:r>
          </w:p>
        </w:tc>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Stop-Loss-Formel</w:t>
            </w:r>
          </w:p>
        </w:tc>
        <w:tc>
          <w:tcPr>
            <w:tcW w:type="dxa" w:w="3426"/>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Erklärung</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Konservativ (weniger Fehlauslösungen)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Einstiegskurs − 3 × ATR</w:t>
            </w:r>
          </w:p>
        </w:tc>
        <w:tc>
          <w:tcPr>
            <w:tcW w:type="dxa" w:w="3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Gibt der Aktie viel Spielraum</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Standard</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Einstiegskurs − 2 × ATR</w:t>
            </w:r>
          </w:p>
        </w:tc>
        <w:tc>
          <w:tcPr>
            <w:tcW w:type="dxa" w:w="34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Ausgewogenes Risk/Reward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Aggressiv (enger Stop)</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Einstiegskurs − 1,5 × ATR</w:t>
            </w:r>
          </w:p>
        </w:tc>
        <w:tc>
          <w:tcPr>
            <w:tcW w:type="dxa" w:w="3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Mehr Fehlauslösungen, geringeres Verlustrisiko</w:t>
            </w:r>
          </w:p>
        </w:tc>
      </w:tr>
    </w:tbl>
    <w:p>
      <w:pPr>
        <w:spacing w:after="110" w:before="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D5E8F0" w:val="clear"/>
            <w:tcMar>
              <w:top w:type="dxa" w:w="120"/>
              <w:left w:type="dxa" w:w="180"/>
              <w:bottom w:type="dxa" w:w="120"/>
              <w:right w:type="dxa" w:w="180"/>
            </w:tcMar>
          </w:tcPr>
          <w:p>
            <w:pPr>
              <w:spacing w:after="60" w:before="60"/>
            </w:pPr>
            <w:r>
              <w:rPr>
                <w:rFonts w:ascii="Arial" w:cs="Arial" w:eastAsia="Arial" w:hAnsi="Arial"/>
                <w:b/>
                <w:bCs/>
                <w:color w:val="1F3864"/>
                <w:sz w:val="20"/>
                <w:szCs w:val="20"/>
              </w:rPr>
              <w:t xml:space="preserve">Beispiel ENR: </w:t>
            </w:r>
            <w:r>
              <w:rPr>
                <w:rFonts w:ascii="Arial" w:cs="Arial" w:eastAsia="Arial" w:hAnsi="Arial"/>
                <w:b w:val="false"/>
                <w:bCs w:val="false"/>
                <w:color w:val="1F3864"/>
                <w:sz w:val="20"/>
                <w:szCs w:val="20"/>
              </w:rPr>
              <w:t xml:space="preserve">Angenommener ATR(14) ~4 € bei Kurs 162 €. Standard-Stop (2×ATR): 162 − 8 = 154 €. Konservativer Stop (3×ATR): 162 − 12 = 150 €. Dies passt gut zur Analyse: 150 € ist eine starke Unterstützungszone (psychologische Marke), was den ATR-basierten Stop bestätigt.</w:t>
            </w:r>
          </w:p>
          <w:p>
            <w:pPr>
              <w:spacing w:after="60" w:before="60"/>
            </w:pPr>
            <w:r>
              <w:rPr>
                <w:rFonts w:ascii="Arial" w:cs="Arial" w:eastAsia="Arial" w:hAnsi="Arial"/>
                <w:b/>
                <w:bCs/>
                <w:color w:val="1F3864"/>
                <w:sz w:val="20"/>
                <w:szCs w:val="20"/>
              </w:rPr>
              <w:t xml:space="preserve">Positionsgröße: </w:t>
            </w:r>
            <w:r>
              <w:rPr>
                <w:rFonts w:ascii="Arial" w:cs="Arial" w:eastAsia="Arial" w:hAnsi="Arial"/>
                <w:b w:val="false"/>
                <w:bCs w:val="false"/>
                <w:color w:val="1F3864"/>
                <w:sz w:val="20"/>
                <w:szCs w:val="20"/>
              </w:rPr>
              <w:t xml:space="preserve">ATR hilft auch bei der Positionsgröße: Wenn du maximal 500 € riskieren möchtest und der Stop 8 € unter dem Einstieg liegt, dann ist die maximale Positionsgröße 500 ÷ 8 = 62 Aktien.</w:t>
            </w:r>
          </w:p>
        </w:tc>
      </w:tr>
    </w:tbl>
    <w:p>
      <w:pPr>
        <w:pageBreakBefore/>
      </w:pPr>
      <w:r>
        <w:br/>
      </w:r>
    </w:p>
    <w:p>
      <w:pPr>
        <w:pStyle w:val="Heading1"/>
        <w:pBdr>
          <w:bottom w:val="single" w:color="2E75B6" w:sz="8" w:space="4"/>
        </w:pBdr>
        <w:spacing w:after="200" w:before="360"/>
      </w:pPr>
      <w:r>
        <w:rPr>
          <w:rFonts w:ascii="Arial" w:cs="Arial" w:eastAsia="Arial" w:hAnsi="Arial"/>
          <w:b/>
          <w:bCs/>
          <w:color w:val="1F3864"/>
          <w:sz w:val="34"/>
          <w:szCs w:val="34"/>
        </w:rPr>
        <w:t xml:space="preserve">9  Indikator-Kombination: Das investis-Framework</w:t>
      </w:r>
    </w:p>
    <w:p>
      <w:pPr>
        <w:spacing w:after="60" w:before="60"/>
      </w:pPr>
      <w:r>
        <w:rPr>
          <w:rFonts w:ascii="Arial" w:cs="Arial" w:eastAsia="Arial" w:hAnsi="Arial"/>
        </w:rPr>
        <w:t xml:space="preserve">Die Stärke liegt nie in einem einzelnen Indikator, sondern in der Konfluenz — wenn mehrere Indikatoren unabhängig voneinander dasselbe Signal zeigen. Hier ist das empfohlene Framework für investis:</w:t>
      </w:r>
    </w:p>
    <w:p>
      <w:pPr>
        <w:spacing w:after="110" w:before="0"/>
      </w:pPr>
      <w:r>
        <w:rPr>
          <w:rFonts w:ascii="Arial" w:cs="Arial" w:eastAsia="Arial" w:hAnsi="Arial"/>
        </w:rPr>
        <w:t xml:space="preserve"/>
      </w:r>
    </w:p>
    <w:p>
      <w:pPr>
        <w:pStyle w:val="Heading2"/>
        <w:spacing w:after="120" w:before="260"/>
      </w:pPr>
      <w:r>
        <w:rPr>
          <w:rFonts w:ascii="Arial" w:cs="Arial" w:eastAsia="Arial" w:hAnsi="Arial"/>
          <w:b/>
          <w:bCs/>
          <w:color w:val="2E75B6"/>
          <w:sz w:val="26"/>
          <w:szCs w:val="26"/>
        </w:rPr>
        <w:t xml:space="preserve">9.1  Die Drei-Ebenen-Prüfung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800"/>
        <w:gridCol w:w="2026"/>
      </w:tblGrid>
      <w:tr>
        <w:tc>
          <w:tcPr>
            <w:tcW w:type="dxa" w:w="1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Ebene</w:t>
            </w:r>
          </w:p>
        </w:tc>
        <w:tc>
          <w:tcPr>
            <w:tcW w:type="dxa" w:w="2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Frage</w:t>
            </w:r>
          </w:p>
        </w:tc>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Indikator(en)</w:t>
            </w:r>
          </w:p>
        </w:tc>
        <w:tc>
          <w:tcPr>
            <w:tcW w:type="dxa" w:w="2026"/>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Zeithorizont</w:t>
            </w:r>
          </w:p>
        </w:tc>
      </w:tr>
      <w:tr>
        <w:tc>
          <w:tcPr>
            <w:tcW w:type="dxa" w:w="16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60" w:before="60"/>
              <w:jc w:val="left"/>
            </w:pPr>
            <w:r>
              <w:rPr>
                <w:rFonts w:ascii="Arial" w:cs="Arial" w:eastAsia="Arial" w:hAnsi="Arial"/>
                <w:b/>
                <w:bCs/>
                <w:color w:val="1F3864"/>
                <w:sz w:val="20"/>
                <w:szCs w:val="20"/>
              </w:rPr>
              <w:t xml:space="preserve">1. Trend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In welche Richtung läuft der Markt?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SMA 200, SMA 50, ADX</w:t>
            </w:r>
          </w:p>
        </w:tc>
        <w:tc>
          <w:tcPr>
            <w:tcW w:type="dxa" w:w="2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Wochenchart (langfristig)</w:t>
            </w:r>
          </w:p>
        </w:tc>
      </w:tr>
      <w:tr>
        <w:tc>
          <w:tcPr>
            <w:tcW w:type="dxa" w:w="16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60" w:before="60"/>
              <w:jc w:val="left"/>
            </w:pPr>
            <w:r>
              <w:rPr>
                <w:rFonts w:ascii="Arial" w:cs="Arial" w:eastAsia="Arial" w:hAnsi="Arial"/>
                <w:b/>
                <w:bCs/>
                <w:color w:val="7F6000"/>
                <w:sz w:val="20"/>
                <w:szCs w:val="20"/>
              </w:rPr>
              <w:t xml:space="preserve">2. Momentum</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Ist der Trend stark genug für einen Einstieg?</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RSI, MACD, Stochastik</w:t>
            </w:r>
          </w:p>
        </w:tc>
        <w:tc>
          <w:tcPr>
            <w:tcW w:type="dxa" w:w="20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Tageschart (mittelfristig)</w:t>
            </w:r>
          </w:p>
        </w:tc>
      </w:tr>
      <w:tr>
        <w:tc>
          <w:tcPr>
            <w:tcW w:type="dxa" w:w="1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60" w:before="60"/>
              <w:jc w:val="left"/>
            </w:pPr>
            <w:r>
              <w:rPr>
                <w:rFonts w:ascii="Arial" w:cs="Arial" w:eastAsia="Arial" w:hAnsi="Arial"/>
                <w:b/>
                <w:bCs/>
                <w:color w:val="375623"/>
                <w:sz w:val="20"/>
                <w:szCs w:val="20"/>
              </w:rPr>
              <w:t xml:space="preserve">3. Einstieg</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Gibt es einen konkreten Trigger?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Candlestick (Modul 1), Bollinger, Volumen</w:t>
            </w:r>
          </w:p>
        </w:tc>
        <w:tc>
          <w:tcPr>
            <w:tcW w:type="dxa" w:w="2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1–4h Chart (kurzfristig)</w:t>
            </w:r>
          </w:p>
        </w:tc>
      </w:tr>
    </w:tbl>
    <w:p>
      <w:pPr>
        <w:spacing w:after="110" w:before="0"/>
      </w:pPr>
      <w:r>
        <w:rPr>
          <w:rFonts w:ascii="Arial" w:cs="Arial" w:eastAsia="Arial" w:hAnsi="Arial"/>
        </w:rPr>
        <w:t xml:space="preserve"/>
      </w:r>
    </w:p>
    <w:p>
      <w:pPr>
        <w:pStyle w:val="Heading2"/>
        <w:spacing w:after="120" w:before="260"/>
      </w:pPr>
      <w:r>
        <w:rPr>
          <w:rFonts w:ascii="Arial" w:cs="Arial" w:eastAsia="Arial" w:hAnsi="Arial"/>
          <w:b/>
          <w:bCs/>
          <w:color w:val="2E75B6"/>
          <w:sz w:val="26"/>
          <w:szCs w:val="26"/>
        </w:rPr>
        <w:t xml:space="preserve">9.2  Signal-Konfluenz-Tabelle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426"/>
      </w:tblGrid>
      <w:tr>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Indikator</w:t>
            </w:r>
          </w:p>
        </w:tc>
        <w:tc>
          <w:tcPr>
            <w:tcW w:type="dxa" w:w="4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Signal</w:t>
            </w:r>
          </w:p>
        </w:tc>
        <w:tc>
          <w:tcPr>
            <w:tcW w:type="dxa" w:w="2426"/>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Gewichtung</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SMA 200</w:t>
            </w:r>
          </w:p>
        </w:tc>
        <w:tc>
          <w:tcPr>
            <w:tcW w:type="dxa" w:w="460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60" w:before="60"/>
              <w:jc w:val="center"/>
            </w:pPr>
            <w:r>
              <w:rPr>
                <w:rFonts w:ascii="Arial" w:cs="Arial" w:eastAsia="Arial" w:hAnsi="Arial"/>
                <w:b/>
                <w:bCs/>
                <w:color w:val="375623"/>
                <w:sz w:val="20"/>
                <w:szCs w:val="20"/>
              </w:rPr>
              <w:t xml:space="preserve">POSITIV — Kurs über SMA200</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Hoch (Trendfilter)</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SMA 50/100</w:t>
            </w:r>
          </w:p>
        </w:tc>
        <w:tc>
          <w:tcPr>
            <w:tcW w:type="dxa" w:w="4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60" w:before="60"/>
              <w:jc w:val="center"/>
            </w:pPr>
            <w:r>
              <w:rPr>
                <w:rFonts w:ascii="Arial" w:cs="Arial" w:eastAsia="Arial" w:hAnsi="Arial"/>
                <w:b/>
                <w:bCs/>
                <w:color w:val="843C0C"/>
                <w:sz w:val="20"/>
                <w:szCs w:val="20"/>
              </w:rPr>
              <w:t xml:space="preserve">NEGATIV — Kurs darunter</w:t>
            </w:r>
          </w:p>
        </w:tc>
        <w:tc>
          <w:tcPr>
            <w:tcW w:type="dxa" w:w="24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Mittel (kurzfristiger Druck)</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RSI (14)</w:t>
            </w:r>
          </w:p>
        </w:tc>
        <w:tc>
          <w:tcPr>
            <w:tcW w:type="dxa" w:w="46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60" w:before="60"/>
              <w:jc w:val="center"/>
            </w:pPr>
            <w:r>
              <w:rPr>
                <w:rFonts w:ascii="Arial" w:cs="Arial" w:eastAsia="Arial" w:hAnsi="Arial"/>
                <w:b/>
                <w:bCs/>
                <w:color w:val="7F6000"/>
                <w:sz w:val="20"/>
                <w:szCs w:val="20"/>
              </w:rPr>
              <w:t xml:space="preserve">NEUTRAL ~42</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Mittel</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MACD</w:t>
            </w:r>
          </w:p>
        </w:tc>
        <w:tc>
          <w:tcPr>
            <w:tcW w:type="dxa" w:w="4600"/>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60" w:before="60"/>
              <w:jc w:val="center"/>
            </w:pPr>
            <w:r>
              <w:rPr>
                <w:rFonts w:ascii="Arial" w:cs="Arial" w:eastAsia="Arial" w:hAnsi="Arial"/>
                <w:b/>
                <w:bCs/>
                <w:color w:val="843C0C"/>
                <w:sz w:val="20"/>
                <w:szCs w:val="20"/>
              </w:rPr>
              <w:t xml:space="preserve">BÄRISCH — unter Signallinie</w:t>
            </w:r>
          </w:p>
        </w:tc>
        <w:tc>
          <w:tcPr>
            <w:tcW w:type="dxa" w:w="24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Mittel</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ADX</w:t>
            </w:r>
          </w:p>
        </w:tc>
        <w:tc>
          <w:tcPr>
            <w:tcW w:type="dxa" w:w="46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60" w:before="60"/>
              <w:jc w:val="center"/>
            </w:pPr>
            <w:r>
              <w:rPr>
                <w:rFonts w:ascii="Arial" w:cs="Arial" w:eastAsia="Arial" w:hAnsi="Arial"/>
                <w:b/>
                <w:bCs/>
                <w:color w:val="7F6000"/>
                <w:sz w:val="20"/>
                <w:szCs w:val="20"/>
              </w:rPr>
              <w:t xml:space="preserve">TRENDLOS ~13</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Hoch (Umfeld-Filter)</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Bollinger Bands</w:t>
            </w:r>
          </w:p>
        </w:tc>
        <w:tc>
          <w:tcPr>
            <w:tcW w:type="dxa" w:w="46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60" w:before="60"/>
              <w:jc w:val="center"/>
            </w:pPr>
            <w:r>
              <w:rPr>
                <w:rFonts w:ascii="Arial" w:cs="Arial" w:eastAsia="Arial" w:hAnsi="Arial"/>
                <w:b/>
                <w:bCs/>
                <w:color w:val="7F6000"/>
                <w:sz w:val="20"/>
                <w:szCs w:val="20"/>
              </w:rPr>
              <w:t xml:space="preserve">NEUTRAL — im Band</w:t>
            </w:r>
          </w:p>
        </w:tc>
        <w:tc>
          <w:tcPr>
            <w:tcW w:type="dxa" w:w="24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Mittel</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Volumen</w:t>
            </w:r>
          </w:p>
        </w:tc>
        <w:tc>
          <w:tcPr>
            <w:tcW w:type="dxa" w:w="460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60" w:before="60"/>
              <w:jc w:val="center"/>
            </w:pPr>
            <w:r>
              <w:rPr>
                <w:rFonts w:ascii="Arial" w:cs="Arial" w:eastAsia="Arial" w:hAnsi="Arial"/>
                <w:b/>
                <w:bCs/>
                <w:color w:val="7F6000"/>
                <w:sz w:val="20"/>
                <w:szCs w:val="20"/>
              </w:rPr>
              <w:t xml:space="preserve">ZU PRÜFEN</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Mittel</w:t>
            </w:r>
          </w:p>
        </w:tc>
      </w:tr>
    </w:tbl>
    <w:p>
      <w:pPr>
        <w:spacing w:after="110" w:before="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D5E8F0" w:val="clear"/>
            <w:tcMar>
              <w:top w:type="dxa" w:w="120"/>
              <w:left w:type="dxa" w:w="180"/>
              <w:bottom w:type="dxa" w:w="120"/>
              <w:right w:type="dxa" w:w="180"/>
            </w:tcMar>
          </w:tcPr>
          <w:p>
            <w:pPr>
              <w:spacing w:after="60" w:before="60"/>
            </w:pPr>
            <w:r>
              <w:rPr>
                <w:rFonts w:ascii="Arial" w:cs="Arial" w:eastAsia="Arial" w:hAnsi="Arial"/>
                <w:b/>
                <w:bCs/>
                <w:color w:val="1F3864"/>
                <w:sz w:val="20"/>
                <w:szCs w:val="20"/>
              </w:rPr>
              <w:t xml:space="preserve">ENR GESAMT-SIGNAL (Technisch): WATCH / AKKUMULIEREN BEI STÄRKE</w:t>
            </w:r>
          </w:p>
          <w:p>
            <w:pPr>
              <w:spacing w:after="60" w:before="60"/>
            </w:pPr>
            <w:r>
              <w:rPr>
                <w:rFonts w:ascii="Arial" w:cs="Arial" w:eastAsia="Arial" w:hAnsi="Arial"/>
                <w:b w:val="false"/>
                <w:bCs w:val="false"/>
                <w:color w:val="1F3864"/>
                <w:sz w:val="20"/>
                <w:szCs w:val="20"/>
              </w:rPr>
              <w:t xml:space="preserve">Übergeordneter Trend intakt (über SMA200), aber kurzfristiger Druck (ADX trendlos, MACD bärisch, unter SMA50). Einstieg bei Bestätigung: Warten auf RSI &gt; 50 + MACD-Crossover + Schließen über SMA50 — das wäre das Konfluenz-Signal für einen Nachkauf.</w:t>
            </w:r>
          </w:p>
        </w:tc>
      </w:tr>
    </w:tbl>
    <w:p>
      <w:pPr>
        <w:pageBreakBefore/>
      </w:pPr>
      <w:r>
        <w:br/>
      </w:r>
    </w:p>
    <w:p>
      <w:pPr>
        <w:pStyle w:val="Heading1"/>
        <w:pBdr>
          <w:bottom w:val="single" w:color="2E75B6" w:sz="8" w:space="4"/>
        </w:pBdr>
        <w:spacing w:after="200" w:before="360"/>
      </w:pPr>
      <w:r>
        <w:rPr>
          <w:rFonts w:ascii="Arial" w:cs="Arial" w:eastAsia="Arial" w:hAnsi="Arial"/>
          <w:b/>
          <w:bCs/>
          <w:color w:val="1F3864"/>
          <w:sz w:val="34"/>
          <w:szCs w:val="34"/>
        </w:rPr>
        <w:t xml:space="preserve">10  Checkliste: Technische Analyse vor einer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2800"/>
        <w:gridCol w:w="1426"/>
      </w:tblGrid>
      <w:tr>
        <w:tc>
          <w:tcPr>
            <w:tcW w:type="dxa" w:w="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w:t>
            </w:r>
          </w:p>
        </w:tc>
        <w:tc>
          <w:tcPr>
            <w:tcW w:type="dxa" w:w="4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Prüfpunkt</w:t>
            </w:r>
          </w:p>
        </w:tc>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Ergebnis</w:t>
            </w:r>
          </w:p>
        </w:tc>
        <w:tc>
          <w:tcPr>
            <w:tcW w:type="dxa" w:w="1426"/>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OK?</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1</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Übergeordneter Trend (Wochenchart): Über SMA 200?</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________</w:t>
            </w:r>
          </w:p>
        </w:tc>
        <w:tc>
          <w:tcPr>
            <w:tcW w:type="dxa" w:w="1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2</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Mittelfristiger Trend (Tageschart): Über SMA 50?</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________</w:t>
            </w:r>
          </w:p>
        </w:tc>
        <w:tc>
          <w:tcPr>
            <w:tcW w:type="dxa" w:w="14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3</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ADX &gt; 20? (Trend vorhanden)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________</w:t>
            </w:r>
          </w:p>
        </w:tc>
        <w:tc>
          <w:tcPr>
            <w:tcW w:type="dxa" w:w="1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4</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RSI: Überverkauft (&lt;30) oder steigend über 50?</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________</w:t>
            </w:r>
          </w:p>
        </w:tc>
        <w:tc>
          <w:tcPr>
            <w:tcW w:type="dxa" w:w="14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5</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MACD: Bullischer Crossover oder Histogramm wächst?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________</w:t>
            </w:r>
          </w:p>
        </w:tc>
        <w:tc>
          <w:tcPr>
            <w:tcW w:type="dxa" w:w="1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6</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Bollinger: Kurs am unteren Band oder Squeeze-Ausbruch?</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________</w:t>
            </w:r>
          </w:p>
        </w:tc>
        <w:tc>
          <w:tcPr>
            <w:tcW w:type="dxa" w:w="14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7</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Volumen: Bestätigt den Kursbewegung?</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________</w:t>
            </w:r>
          </w:p>
        </w:tc>
        <w:tc>
          <w:tcPr>
            <w:tcW w:type="dxa" w:w="1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8</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Candlestick-Signal (Modul 1): Bestätigendes Muster?</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________</w:t>
            </w:r>
          </w:p>
        </w:tc>
        <w:tc>
          <w:tcPr>
            <w:tcW w:type="dxa" w:w="14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9</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ATR berechnet? Stop-Loss gesetzt?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________</w:t>
            </w:r>
          </w:p>
        </w:tc>
        <w:tc>
          <w:tcPr>
            <w:tcW w:type="dxa" w:w="1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10</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Konfluenz: Mindestens 3 Indikatoren im Einklang?</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________</w:t>
            </w:r>
          </w:p>
        </w:tc>
        <w:tc>
          <w:tcPr>
            <w:tcW w:type="dxa" w:w="14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w:t>
            </w:r>
          </w:p>
        </w:tc>
      </w:tr>
    </w:tbl>
    <w:p>
      <w:pPr>
        <w:spacing w:after="110" w:before="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FFF2CC" w:val="clear"/>
            <w:tcMar>
              <w:top w:type="dxa" w:w="120"/>
              <w:left w:type="dxa" w:w="180"/>
              <w:bottom w:type="dxa" w:w="120"/>
              <w:right w:type="dxa" w:w="180"/>
            </w:tcMar>
          </w:tcPr>
          <w:p>
            <w:pPr>
              <w:spacing w:after="60" w:before="60"/>
            </w:pPr>
            <w:r>
              <w:rPr>
                <w:rFonts w:ascii="Arial" w:cs="Arial" w:eastAsia="Arial" w:hAnsi="Arial"/>
                <w:b/>
                <w:bCs/>
                <w:color w:val="7F6000"/>
                <w:sz w:val="20"/>
                <w:szCs w:val="20"/>
              </w:rPr>
              <w:t xml:space="preserve">Mindestanforderung: </w:t>
            </w:r>
            <w:r>
              <w:rPr>
                <w:rFonts w:ascii="Arial" w:cs="Arial" w:eastAsia="Arial" w:hAnsi="Arial"/>
                <w:b w:val="false"/>
                <w:bCs w:val="false"/>
                <w:color w:val="7F6000"/>
                <w:sz w:val="20"/>
                <w:szCs w:val="20"/>
              </w:rPr>
              <w:t xml:space="preserve">Mindestens 5 von 10 Punkten sollten bestätigt sein, bevor eine Order aufgegeben wird. Je mehr Konfluenz, desto höhere Positionsgröße möglich.</w:t>
            </w:r>
          </w:p>
          <w:p>
            <w:pPr>
              <w:spacing w:after="60" w:before="60"/>
            </w:pPr>
            <w:r>
              <w:rPr>
                <w:rFonts w:ascii="Arial" w:cs="Arial" w:eastAsia="Arial" w:hAnsi="Arial"/>
                <w:b/>
                <w:bCs/>
                <w:color w:val="7F6000"/>
                <w:sz w:val="20"/>
                <w:szCs w:val="20"/>
              </w:rPr>
              <w:t xml:space="preserve">Kombination mit Modul 2: </w:t>
            </w:r>
            <w:r>
              <w:rPr>
                <w:rFonts w:ascii="Arial" w:cs="Arial" w:eastAsia="Arial" w:hAnsi="Arial"/>
                <w:b w:val="false"/>
                <w:bCs w:val="false"/>
                <w:color w:val="7F6000"/>
                <w:sz w:val="20"/>
                <w:szCs w:val="20"/>
              </w:rPr>
              <w:t xml:space="preserve">Erst Fundamentalanalyse (ist die Aktie kaufenswert?), dann Technische Analyse (ist jetzt der richtige Zeitpunkt?). Beide Ebenen sollten grünes Licht geben.</w:t>
            </w:r>
          </w:p>
        </w:tc>
      </w:tr>
    </w:tbl>
    <w:p>
      <w:pPr>
        <w:spacing w:after="110" w:before="0"/>
      </w:pPr>
      <w:r>
        <w:rPr>
          <w:rFonts w:ascii="Arial" w:cs="Arial" w:eastAsia="Arial" w:hAnsi="Arial"/>
        </w:rPr>
        <w:t xml:space="preserve"/>
      </w:r>
    </w:p>
    <w:p>
      <w:pPr>
        <w:spacing w:after="110" w:before="0"/>
      </w:pPr>
      <w:r>
        <w:rPr>
          <w:rFonts w:ascii="Arial" w:cs="Arial" w:eastAsia="Arial" w:hAnsi="Arial"/>
        </w:rPr>
        <w:t xml:space="preserve"/>
      </w:r>
    </w:p>
    <w:p>
      <w:pPr>
        <w:pStyle w:val="Heading1"/>
        <w:pBdr>
          <w:bottom w:val="single" w:color="2E75B6" w:sz="8" w:space="4"/>
        </w:pBdr>
        <w:spacing w:after="200" w:before="360"/>
      </w:pPr>
      <w:r>
        <w:rPr>
          <w:rFonts w:ascii="Arial" w:cs="Arial" w:eastAsia="Arial" w:hAnsi="Arial"/>
          <w:b/>
          <w:bCs/>
          <w:color w:val="1F3864"/>
          <w:sz w:val="34"/>
          <w:szCs w:val="34"/>
        </w:rPr>
        <w:t xml:space="preserve">11  Zusammenfassung: Alle Indikatoren auf einen Blick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1600"/>
        <w:gridCol w:w="1600"/>
        <w:gridCol w:w="1626"/>
      </w:tblGrid>
      <w:tr>
        <w:tc>
          <w:tcPr>
            <w:tcW w:type="dxa" w:w="1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Indikator</w:t>
            </w:r>
          </w:p>
        </w:tc>
        <w:tc>
          <w:tcPr>
            <w:tcW w:type="dxa" w:w="1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Typ</w:t>
            </w:r>
          </w:p>
        </w:tc>
        <w:tc>
          <w:tcPr>
            <w:tcW w:type="dxa" w:w="1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Standard</w:t>
            </w:r>
          </w:p>
        </w:tc>
        <w:tc>
          <w:tcPr>
            <w:tcW w:type="dxa" w:w="1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Kaufsignal</w:t>
            </w:r>
          </w:p>
        </w:tc>
        <w:tc>
          <w:tcPr>
            <w:tcW w:type="dxa" w:w="1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Verkaufssignal</w:t>
            </w:r>
          </w:p>
        </w:tc>
        <w:tc>
          <w:tcPr>
            <w:tcW w:type="dxa" w:w="1626"/>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ENR (Juni 2026)</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RSI</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Momentum</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14 Tage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&lt; 30 (oder Div.)</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&lt; 70 (oder Div.)</w:t>
            </w:r>
          </w:p>
        </w:tc>
        <w:tc>
          <w:tcPr>
            <w:tcW w:type="dxa" w:w="1626"/>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60" w:before="60"/>
              <w:jc w:val="center"/>
            </w:pPr>
            <w:r>
              <w:rPr>
                <w:rFonts w:ascii="Arial" w:cs="Arial" w:eastAsia="Arial" w:hAnsi="Arial"/>
                <w:b w:val="false"/>
                <w:bCs w:val="false"/>
                <w:color w:val="7F6000"/>
                <w:sz w:val="20"/>
                <w:szCs w:val="20"/>
              </w:rPr>
              <w:t xml:space="preserve">~42 — Neutral</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MACD</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Trend</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12,26,9</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Bull-Crossover</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Bear-Crossover</w:t>
            </w:r>
          </w:p>
        </w:tc>
        <w:tc>
          <w:tcPr>
            <w:tcW w:type="dxa" w:w="1626"/>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60" w:before="60"/>
              <w:jc w:val="center"/>
            </w:pPr>
            <w:r>
              <w:rPr>
                <w:rFonts w:ascii="Arial" w:cs="Arial" w:eastAsia="Arial" w:hAnsi="Arial"/>
                <w:b w:val="false"/>
                <w:bCs w:val="false"/>
                <w:color w:val="843C0C"/>
                <w:sz w:val="20"/>
                <w:szCs w:val="20"/>
              </w:rPr>
              <w:t xml:space="preserve">Bärisch</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Bollinger Bands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Volatilität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20,2σ</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Unteres Band / Squeeze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Oberes Band</w:t>
            </w:r>
          </w:p>
        </w:tc>
        <w:tc>
          <w:tcPr>
            <w:tcW w:type="dxa" w:w="1626"/>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60" w:before="60"/>
              <w:jc w:val="center"/>
            </w:pPr>
            <w:r>
              <w:rPr>
                <w:rFonts w:ascii="Arial" w:cs="Arial" w:eastAsia="Arial" w:hAnsi="Arial"/>
                <w:b w:val="false"/>
                <w:bCs w:val="false"/>
                <w:color w:val="7F6000"/>
                <w:sz w:val="20"/>
                <w:szCs w:val="20"/>
              </w:rPr>
              <w:t xml:space="preserve">Im Band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SMA 50</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Trend</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50 Tage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Kurs &gt; SMA50</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Kurs &lt; SMA50</w:t>
            </w:r>
          </w:p>
        </w:tc>
        <w:tc>
          <w:tcPr>
            <w:tcW w:type="dxa" w:w="1626"/>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60" w:before="60"/>
              <w:jc w:val="center"/>
            </w:pPr>
            <w:r>
              <w:rPr>
                <w:rFonts w:ascii="Arial" w:cs="Arial" w:eastAsia="Arial" w:hAnsi="Arial"/>
                <w:b w:val="false"/>
                <w:bCs w:val="false"/>
                <w:color w:val="843C0C"/>
                <w:sz w:val="20"/>
                <w:szCs w:val="20"/>
              </w:rPr>
              <w:t xml:space="preserve">Kurs darunter ↓</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SMA 200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Trend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200 Tage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Kurs &gt; SMA200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Kurs &lt; SMA200</w:t>
            </w:r>
          </w:p>
        </w:tc>
        <w:tc>
          <w:tcPr>
            <w:tcW w:type="dxa" w:w="1626"/>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60" w:before="60"/>
              <w:jc w:val="center"/>
            </w:pPr>
            <w:r>
              <w:rPr>
                <w:rFonts w:ascii="Arial" w:cs="Arial" w:eastAsia="Arial" w:hAnsi="Arial"/>
                <w:b w:val="false"/>
                <w:bCs w:val="false"/>
                <w:color w:val="375623"/>
                <w:sz w:val="20"/>
                <w:szCs w:val="20"/>
              </w:rPr>
              <w:t xml:space="preserve">Kurs darüber ✔</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ADX</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Trendstärke</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14 Tage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&gt; 25 (Trend vorhanden)</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&lt; 15 (kein Trend)</w:t>
            </w:r>
          </w:p>
        </w:tc>
        <w:tc>
          <w:tcPr>
            <w:tcW w:type="dxa" w:w="1626"/>
            <w:tcBorders>
              <w:top w:val="single" w:color="CCCCCC" w:sz="4"/>
              <w:left w:val="single" w:color="CCCCCC" w:sz="4"/>
              <w:bottom w:val="single" w:color="CCCCCC" w:sz="4"/>
              <w:right w:val="single" w:color="CCCCCC" w:sz="4"/>
            </w:tcBorders>
            <w:shd w:fill="FCE4D6" w:val="clear"/>
            <w:tcMar>
              <w:top w:type="dxa" w:w="80"/>
              <w:left w:type="dxa" w:w="120"/>
              <w:bottom w:type="dxa" w:w="80"/>
              <w:right w:type="dxa" w:w="120"/>
            </w:tcMar>
          </w:tcPr>
          <w:p>
            <w:pPr>
              <w:spacing w:after="60" w:before="60"/>
              <w:jc w:val="center"/>
            </w:pPr>
            <w:r>
              <w:rPr>
                <w:rFonts w:ascii="Arial" w:cs="Arial" w:eastAsia="Arial" w:hAnsi="Arial"/>
                <w:b w:val="false"/>
                <w:bCs w:val="false"/>
                <w:color w:val="843C0C"/>
                <w:sz w:val="20"/>
                <w:szCs w:val="20"/>
              </w:rPr>
              <w:t xml:space="preserve">~13 — Trendlos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Stochastik</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Momentum</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14,3,3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Bull-Cross &lt; 20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Bear-Cross &gt; 80</w:t>
            </w:r>
          </w:p>
        </w:tc>
        <w:tc>
          <w:tcPr>
            <w:tcW w:type="dxa" w:w="16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595959"/>
                <w:sz w:val="20"/>
                <w:szCs w:val="20"/>
              </w:rPr>
              <w:t xml:space="preserve">Bitte prüfen</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ATR</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Volatilität</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14 Tage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Stop-Loss-Basis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Stop-Loss-Basis</w:t>
            </w:r>
          </w:p>
        </w:tc>
        <w:tc>
          <w:tcPr>
            <w:tcW w:type="dxa" w:w="16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595959"/>
                <w:sz w:val="20"/>
                <w:szCs w:val="20"/>
              </w:rPr>
              <w:t xml:space="preserve">Bitte prüfen</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b w:val="false"/>
                <w:bCs w:val="false"/>
                <w:color w:val="000000"/>
                <w:sz w:val="20"/>
                <w:szCs w:val="20"/>
              </w:rPr>
              <w:t xml:space="preserve">Volumen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Bestätigung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Ø 20 Tage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Ausbruch + hohes Vol.</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center"/>
            </w:pPr>
            <w:r>
              <w:rPr>
                <w:rFonts w:ascii="Arial" w:cs="Arial" w:eastAsia="Arial" w:hAnsi="Arial"/>
                <w:b w:val="false"/>
                <w:bCs w:val="false"/>
                <w:color w:val="000000"/>
                <w:sz w:val="20"/>
                <w:szCs w:val="20"/>
              </w:rPr>
              <w:t xml:space="preserve">Kurs fällt + hohes Vol.</w:t>
            </w:r>
          </w:p>
        </w:tc>
        <w:tc>
          <w:tcPr>
            <w:tcW w:type="dxa" w:w="16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center"/>
            </w:pPr>
            <w:r>
              <w:rPr>
                <w:rFonts w:ascii="Arial" w:cs="Arial" w:eastAsia="Arial" w:hAnsi="Arial"/>
                <w:b w:val="false"/>
                <w:bCs w:val="false"/>
                <w:color w:val="595959"/>
                <w:sz w:val="20"/>
                <w:szCs w:val="20"/>
              </w:rPr>
              <w:t xml:space="preserve">Bitte prüfen</w:t>
            </w:r>
          </w:p>
        </w:tc>
      </w:tr>
    </w:tbl>
    <w:p>
      <w:pPr>
        <w:spacing w:after="110" w:before="0"/>
      </w:pPr>
      <w:r>
        <w:rPr>
          <w:rFonts w:ascii="Arial" w:cs="Arial" w:eastAsia="Arial" w:hAnsi="Arial"/>
        </w:rPr>
        <w:t xml:space="preserve"/>
      </w:r>
    </w:p>
    <w:p>
      <w:pPr>
        <w:spacing w:after="110" w:before="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D5E8F0" w:val="clear"/>
            <w:tcMar>
              <w:top w:type="dxa" w:w="120"/>
              <w:left w:type="dxa" w:w="180"/>
              <w:bottom w:type="dxa" w:w="120"/>
              <w:right w:type="dxa" w:w="180"/>
            </w:tcMar>
          </w:tcPr>
          <w:p>
            <w:pPr>
              <w:spacing w:after="60" w:before="60"/>
            </w:pPr>
            <w:r>
              <w:rPr>
                <w:rFonts w:ascii="Arial" w:cs="Arial" w:eastAsia="Arial" w:hAnsi="Arial"/>
                <w:b/>
                <w:bCs/>
                <w:color w:val="1F3864"/>
                <w:sz w:val="20"/>
                <w:szCs w:val="20"/>
              </w:rPr>
              <w:t xml:space="preserve">Nächstes Modul: Chart-Strukturen (Modul 4)</w:t>
            </w:r>
          </w:p>
          <w:p>
            <w:pPr>
              <w:spacing w:after="60" w:before="60"/>
            </w:pPr>
            <w:r>
              <w:rPr>
                <w:rFonts w:ascii="Arial" w:cs="Arial" w:eastAsia="Arial" w:hAnsi="Arial"/>
                <w:b w:val="false"/>
                <w:bCs w:val="false"/>
                <w:color w:val="1F3864"/>
                <w:sz w:val="20"/>
                <w:szCs w:val="20"/>
              </w:rPr>
              <w:t xml:space="preserve">Support- und Widerstandszonen, Trendkanäle, Chartmuster (Doppel-Top/-Boden, Schulter-Kopf-Schulter, Dreiecke, Flaggen), Fibonacci-Retracements — wie man Chart-Strukturen identifiziert und daraus konkrete Handelslevels ableitet.</w:t>
            </w:r>
          </w:p>
        </w:tc>
      </w:tr>
    </w:tbl>
    <w:p>
      <w:pPr>
        <w:spacing w:after="110" w:before="0"/>
      </w:pPr>
      <w:r>
        <w:rPr>
          <w:rFonts w:ascii="Arial" w:cs="Arial" w:eastAsia="Arial" w:hAnsi="Arial"/>
        </w:rPr>
        <w:t xml:space="preserve"/>
      </w:r>
    </w:p>
    <w:p>
      <w:pPr>
        <w:pBdr>
          <w:top w:val="single" w:color="BDD7EE" w:sz="4" w:space="4"/>
        </w:pBdr>
        <w:spacing w:before="120"/>
        <w:jc w:val="center"/>
      </w:pPr>
      <w:r>
        <w:rPr>
          <w:rFonts w:ascii="Arial" w:cs="Arial" w:eastAsia="Arial" w:hAnsi="Arial"/>
          <w:color w:val="595959"/>
          <w:sz w:val="16"/>
          <w:szCs w:val="16"/>
        </w:rPr>
        <w:t xml:space="preserve">investis Wissensbasis · Modul 3: Technische Indikatoren · Juni 2026</w:t>
      </w:r>
    </w:p>
    <w:sectPr>
      <w:head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7EE" w:sz="4" w:space="4"/>
      </w:pBdr>
      <w:jc w:val="right"/>
    </w:pPr>
    <w:r>
      <w:rPr>
        <w:rFonts w:ascii="Arial" w:cs="Arial" w:eastAsia="Arial" w:hAnsi="Arial"/>
        <w:color w:val="595959"/>
        <w:sz w:val="16"/>
        <w:szCs w:val="16"/>
      </w:rPr>
      <w:t xml:space="preserve">investis · Wissensbasis Modul 3 · Technische Indikatoren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039880bd82c6f154943361c0a00bdf61209de76c.png"/><Relationship Id="rId9" Type="http://schemas.openxmlformats.org/officeDocument/2006/relationships/image" Target="media/ac4e4229d31a1fea50b35bd7d365206d83603f68.png"/><Relationship Id="rId10" Type="http://schemas.openxmlformats.org/officeDocument/2006/relationships/image" Target="media/acfe1c5b0f066ffca4f3c86cac041063928d7761.png"/><Relationship Id="rId11" Type="http://schemas.openxmlformats.org/officeDocument/2006/relationships/image" Target="media/7b143296420f2c5068e8cda7415150fa4b2a70c4.png"/><Relationship Id="rId12" Type="http://schemas.openxmlformats.org/officeDocument/2006/relationships/image" Target="media/d2b57b1fbb884fc08b32c4228683460f2a2c5566.png"/><Relationship Id="rId13" Type="http://schemas.openxmlformats.org/officeDocument/2006/relationships/image" Target="media/8f93834b244f09424ae176ea1b45144c06376e25.png"/><Relationship Id="rId14" Type="http://schemas.openxmlformats.org/officeDocument/2006/relationships/image" Target="media/6c034770659b6908aec540074f575e4f22fb631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2026-06-08T19:49:56.802Z</dcterms:created>
  <dcterms:modified xsi:type="dcterms:W3CDTF">2026-06-08T19:49:56.812Z</dcterms:modified>
</cp:coreProperties>
</file>

<file path=docProps/custom.xml><?xml version="1.0" encoding="utf-8"?>
<Properties xmlns="http://schemas.openxmlformats.org/officeDocument/2006/custom-properties" xmlns:vt="http://schemas.openxmlformats.org/officeDocument/2006/docPropsVTypes"/>
</file>