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 xml:space="preserve">Lightweight 3×3 Depthwise Acceleration with Sliding-Window Reuse in a Tightly Coupled RISC-V CFU for INT8 MobileNetV2</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pPr>
        <w:pStyle w:val="Abstract"/>
      </w:pPr>
      <w:r>
        <w:rPr>
          <w:b/>
          <w:bCs/>
          <w:i/>
          <w:iCs/>
        </w:rPr>
        <w:t xml:space="preserve">Abstract</w:t>
      </w:r>
      <w:r>
        <w:rPr>
          <w:b/>
          <w:bCs/>
        </w:rPr>
        <w:t xml:space="preserve">—[ABSTRACT PLACEHOLDER — to be written after Sections III–V are frozen (≤ ~150 words): problem, approach (3×3 depthwise CFU + sliding-window reuse), evaluation setup, verified headline results.]</w:t>
      </w:r>
    </w:p>
    <w:p>
      <w:pPr>
        <w:pStyle w:val="Keywords"/>
      </w:pPr>
      <w:r>
        <w:t xml:space="preserve">Keywords—RISC-V, custom function unit, depthwise convolution, MobileNetV2, data reuse, FPGA, TinyML [PROPOSED]</w:t>
      </w:r>
    </w:p>
    <w:p>
      <w:pPr>
        <w:pStyle w:val="Heading1"/>
      </w:pPr>
      <w:r>
        <w:t xml:space="preserve">Introduction</w:t>
      </w:r>
    </w:p>
    <w:p>
      <w:pPr>
        <w:pStyle w:val="Heading2"/>
      </w:pPr>
      <w:r>
        <w:t xml:space="preserve">Motivation</w:t>
      </w:r>
    </w:p>
    <w:p>
      <w:pPr>
        <w:pStyle w:val="BodyText"/>
      </w:pPr>
      <w:r>
        <w:t xml:space="preserve">Embedded CNN inference must fit memory budgets of kilobytes to a few megabytes under tight energy and latency limits [1]. MobileNetV2 [2] meets these limits with inverted residual blocks built from 1×1 pointwise and 3×3 depthwise convolutions. INT8 quantization allows integer-only execution in TensorFlow Lite Micro (TFLM) [3]. Even so, one inference on a soft RISC-V core takes on the order of 10</w:t>
      </w:r>
      <w:r>
        <w:rPr>
          <w:vertAlign w:val="superscript"/>
        </w:rPr>
        <w:t xml:space="preserve">8</w:t>
      </w:r>
      <w:r>
        <w:t xml:space="preserve">–10</w:t>
      </w:r>
      <w:r>
        <w:rPr>
          <w:vertAlign w:val="superscript"/>
        </w:rPr>
        <w:t xml:space="preserve">9</w:t>
      </w:r>
      <w:r>
        <w:t xml:space="preserve"> cycles [4], so hardware support is needed.</w:t>
      </w:r>
    </w:p>
    <w:p>
      <w:pPr>
        <w:pStyle w:val="Heading2"/>
      </w:pPr>
      <w:r>
        <w:t xml:space="preserve">Problem Statement</w:t>
      </w:r>
    </w:p>
    <w:p>
      <w:pPr>
        <w:pStyle w:val="BodyText"/>
      </w:pPr>
      <w:r>
        <w:t xml:space="preserve">Custom function units (CFUs) are small accelerators placed in a RISC-V pipeline and invoked through custom instructions. They offer such support at low cost [4], [5]. CFU Playground [4] adds a CFU for MobileNetV2’s dominant operator, 1×1 CONV_2D (63% of unaccelerated runtime). It reports a 55× operator speedup but only 3× on the whole model, because depthwise convolution (22.5%) and the other operators remain in software. Once the pointwise layers are accelerated, depthwise convolution dominates: in our 1×1-CFU baseline it takes about 70% of inference cycles [E1]. We therefore ask how a tightly coupled CFU can be extended to depthwise convolution without losing the small footprint that motivates CFUs.</w:t>
      </w:r>
    </w:p>
    <w:p>
      <w:pPr>
        <w:pStyle w:val="Heading2"/>
      </w:pPr>
      <w:r>
        <w:t xml:space="preserve">Research Gap</w:t>
      </w:r>
    </w:p>
    <w:p>
      <w:pPr>
        <w:pStyle w:val="BodyText"/>
      </w:pPr>
      <w:r>
        <w:t xml:space="preserve">Prior FPGA work on MobileNet spans a range of designs. Lightweight CFUs target a single dominant operator [4]. More specialized CFU datapaths fuse the depthwise-separable block: up to 59.3× on one block with a 16,484-LUT, 173-DSP accelerator [6]. A standalone depthwise-separable accelerator uses 392 DSP slices [7]. Arithmetic-level work raises MAC density per DSP slice [7], [8]. Between these lies a less-explored point: a small depthwise unit added to an existing CFU and evaluated on the whole model. Depthwise convolution is also a different optimization problem from pointwise convolution. It has no cross-channel reuse [7], but adjacent stride-1 windows share six of nine inputs, and the fused CFU in [6] fetches and then discards every window. The end-to-end benefit and resource cost of exploiting this overlap inside a lightweight CFU are not characterized by these works.</w:t>
      </w:r>
    </w:p>
    <w:p>
      <w:pPr>
        <w:pStyle w:val="Heading2"/>
      </w:pPr>
      <w:r>
        <w:t xml:space="preserve">Contributions</w:t>
      </w:r>
    </w:p>
    <w:p>
      <w:pPr>
        <w:pStyle w:val="BodyText"/>
      </w:pPr>
      <w:r>
        <w:t xml:space="preserve">We extend the MobileNetV2 CFU of CFU Playground [4] with a dedicated 3×3 depthwise datapath and sliding-window reuse (Fig. 1). We evaluate CPU-only [E2], 1×1 CFU, 1×1 + 3×3 CFU, and 1×1 + 3×3 CFU with reuse on an Artix-7 XC7A100T at 75 MHz. We contribute:</w:t>
      </w:r>
    </w:p>
    <w:p>
      <w:pPr>
        <w:pStyle w:val="bulletlist"/>
      </w:pPr>
      <w:r>
        <w:rPr>
          <w:b/>
          <w:bCs/>
        </w:rPr>
        <w:t xml:space="preserve">A lightweight 3×3 depthwise CFU</w:t>
      </w:r>
      <w:r>
        <w:t xml:space="preserve"> that shares the existing CFU’s instruction interface and is invoked from the TFLM depthwise kernel. Its multipliers map to LUTs, so it adds no DSP slices or BRAM (+167 LUTs, +394 FFs at the CFU level).</w:t>
      </w:r>
    </w:p>
    <w:p>
      <w:pPr>
        <w:pStyle w:val="bulletlist"/>
      </w:pPr>
      <w:r>
        <w:rPr>
          <w:b/>
          <w:bCs/>
        </w:rPr>
        <w:t xml:space="preserve">Sliding-window reuse</w:t>
      </w:r>
      <w:r>
        <w:t xml:space="preserve"> for stride-1 windows that lie fully inside the input. The CFU retains the weights and six of nine inputs, and one SHIFT_RIGHT supplies each new column. This removes 71.3% of 3×3 CFU LOAD instructions [E3].</w:t>
      </w:r>
    </w:p>
    <w:p>
      <w:pPr>
        <w:pStyle w:val="bulletlist"/>
      </w:pPr>
      <w:r>
        <w:rPr>
          <w:b/>
          <w:bCs/>
        </w:rPr>
        <w:t xml:space="preserve">An end-to-end evaluation</w:t>
      </w:r>
      <w:r>
        <w:t xml:space="preserve"> of cycles, per-operator profiles, FPGA resources, timing, data movement, and functional correctness across all four configurations. Relative to the 1×1 CFU, the 3×3 CFU reduces inference cycles by 25.8%, and 30.8% with reuse, and all designs meet timing [E1], [E2].</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Pr>
      <w:tblGrid>
        <w:gridCol w:w="5000"/>
      </w:tblGrid>
      <w:tr>
        <w:trPr>
          <w:cantSplit/>
          <w:trHeight w:val="2880" w:hRule="atLeast"/>
        </w:trPr>
        <w:tc>
          <w:tcPr>
            <w:tcW w:w="5000" w:type="dxa"/>
            <w:vAlign w:val="center"/>
          </w:tcPr>
          <w:p>
            <w:pPr>
              <w:pStyle w:val="tablecopy"/>
              <w:jc w:val="center"/>
            </w:pPr>
            <w:r>
              <w:rPr>
                <w:color w:val="808080"/>
              </w:rPr>
              <w:t xml:space="preserve">[FIGURE 1 PLACEHOLDER — single-column, ≈ 2.0 in]</w:t>
            </w:r>
          </w:p>
        </w:tc>
      </w:tr>
    </w:tbl>
    <w:p>
      <w:pPr>
        <w:spacing w:after="0pt" w:line="2pt" w:lineRule="exact"/>
      </w:pPr>
    </w:p>
    <w:p>
      <w:pPr>
        <w:pStyle w:val="figurecaption"/>
      </w:pPr>
      <w:r>
        <w:t xml:space="preserve">Overall system architecture: TFLM on VexRiscv, CFU with the existing 1×1 path and the new 3×3 depthwise unit, Artix-7 SoC. [PLACEHOLDER CAPTION]</w:t>
      </w:r>
    </w:p>
    <w:p>
      <w:pPr>
        <w:pStyle w:val="Heading1"/>
      </w:pPr>
      <w:r>
        <w:t xml:space="preserve">Background and Related Work</w:t>
      </w:r>
    </w:p>
    <w:p>
      <w:pPr>
        <w:pStyle w:val="Heading2"/>
      </w:pPr>
      <w:r>
        <w:t xml:space="preserve">MobileNetV2 and Embedded CNN Inference</w:t>
      </w:r>
    </w:p>
    <w:p>
      <w:pPr>
        <w:pStyle w:val="BodyText"/>
      </w:pPr>
      <w:r>
        <w:t xml:space="preserve">A MobileNetV2 inverted residual block applies a 1×1 expansion, a 3×3 depthwise convolution, and a 1×1 projection [2] (Fig. 2). The 1×1 layers are per-pixel matrix–vector products that reuse each weight across all pixels and each input across all output channels, so they map well onto MAC arrays [4]. Depthwise convolution filters each channel with its own 3×3 kernel. It needs far fewer operations, but inputs cannot be reused across channels [7]. Its only reuse is spatial, between overlapping windows of one channel. Under INT8 quantization, both layer types run as integer kernels with per-channel requantization [3].</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Pr>
      <w:tblGrid>
        <w:gridCol w:w="5000"/>
      </w:tblGrid>
      <w:tr>
        <w:trPr>
          <w:cantSplit/>
          <w:trHeight w:val="2000" w:hRule="atLeast"/>
        </w:trPr>
        <w:tc>
          <w:tcPr>
            <w:tcW w:w="5000" w:type="dxa"/>
            <w:vAlign w:val="center"/>
          </w:tcPr>
          <w:p>
            <w:pPr>
              <w:pStyle w:val="tablecopy"/>
              <w:jc w:val="center"/>
            </w:pPr>
            <w:r>
              <w:rPr>
                <w:color w:val="808080"/>
              </w:rPr>
              <w:t xml:space="preserve">[FIGURE 2 PLACEHOLDER — single-column, ≈ 1.4 in]</w:t>
            </w:r>
          </w:p>
        </w:tc>
      </w:tr>
    </w:tbl>
    <w:p>
      <w:pPr>
        <w:spacing w:after="0pt" w:line="2pt" w:lineRule="exact"/>
      </w:pPr>
    </w:p>
    <w:p>
      <w:pPr>
        <w:pStyle w:val="figurecaption"/>
      </w:pPr>
      <w:r>
        <w:t xml:space="preserve">MobileNetV2 inverted residual block and operator mapping: 1×1 expansion/projection → existing 1×1 CFU; 3×3 depthwise → new 3×3 CFU; other operators → software. [PLACEHOLDER CAPTION]</w:t>
      </w:r>
    </w:p>
    <w:p>
      <w:pPr>
        <w:pStyle w:val="Heading2"/>
      </w:pPr>
      <w:r>
        <w:t xml:space="preserve">TensorFlow Lite Micro and RISC-V CFU-Based TinyML</w:t>
      </w:r>
    </w:p>
    <w:p>
      <w:pPr>
        <w:pStyle w:val="BodyText"/>
      </w:pPr>
      <w:r>
        <w:t xml:space="preserve">TFLM executes a quantized model by calling one kernel per operator [3]. CFU Playground [4], [5] pairs TFLM with a LiteX SoC built around the VexRiscv soft core on an FPGA. A CFU sits in the CPU pipeline and executes R-type custom instructions with two source operands and one result. Larger operations use instruction sequences and CFU-internal state [5]. Acceleration is introduced per operator: a specialized kernel issues CFU instructions when the layer parameters allow it, and all other operators stay in software. Combined with cycle-level profiling, this supports co-design one bottleneck at a time [4].</w:t>
      </w:r>
    </w:p>
    <w:p>
      <w:pPr>
        <w:pStyle w:val="Heading2"/>
      </w:pPr>
      <w:r>
        <w:t xml:space="preserve">RISC-V CFU Acceleration for MobileNetV2</w:t>
      </w:r>
    </w:p>
    <w:p>
      <w:pPr>
        <w:pStyle w:val="BodyText"/>
      </w:pPr>
      <w:r>
        <w:t xml:space="preserve">In the CFU Playground MobileNetV2 study, about 95% of unaccelerated cycles fall in 1×1 convolution (63%), depthwise convolution (22.5%), and 3×3 convolution (11%) [4]. Its CFU buffers filters and inputs, performs four-way INT8 MACs, and requantizes in hardware. This gives 55× on 1×1 CONV_2D but 3× on the whole model [4]. In a separate keyword-spotting study on a smaller FPGA, the authors note that depthwise convolution has a different memory access pattern. A separate depthwise CFU did not fit there [4]. Yildirim and Ozturk [6] remove intermediate feature-map buffers with a fused, deeply pipelined CFU. It reaches 59.3× on one bottleneck block, but the accelerator alone uses 16,484 LUTs and 173 DSPs, against 4,438 LUTs for the whole baseline SoC. Sabih </w:t>
      </w:r>
      <w:r>
        <w:rPr>
          <w:i/>
          <w:iCs/>
        </w:rPr>
        <w:t xml:space="preserve">et al.</w:t>
      </w:r>
      <w:r>
        <w:t xml:space="preserve"> [9] extend CFU Playground for sparse, pruned DNNs. We keep the dense INT8 model and the CFU Playground execution model, and extend its operator coverage.</w:t>
      </w:r>
    </w:p>
    <w:p>
      <w:pPr>
        <w:pStyle w:val="Heading2"/>
      </w:pPr>
      <w:r>
        <w:t xml:space="preserve">Depthwise-Convolution and Data-Reuse Optimization</w:t>
      </w:r>
    </w:p>
    <w:p>
      <w:pPr>
        <w:pStyle w:val="BodyText"/>
      </w:pPr>
      <w:r>
        <w:t xml:space="preserve">At stride 1, consecutive 3×3 windows in a row overlap in two columns and share six of nine inputs. A CFU that receives each window independently reloads this overlap. The fused CFU of [6] uses exactly such a no-local-reuse depthwise dataflow. Dedicated accelerators exploit the overlap by spatial tiling: [7] reads a 9×9 tile to produce 7×7 depthwise outputs. Because depthwise convolution lacks cross-channel reuse [7], spatial reuse is its main lever on data movement, which increasingly limits ML hardware performance and energy [10]. DSP packing [7] and mixed DSP/LUT MAC units [8] instead raise arithmetic density. They are orthogonal to reuse and are not our focus.</w:t>
      </w:r>
    </w:p>
    <w:p>
      <w:pPr>
        <w:pStyle w:val="Heading2"/>
      </w:pPr>
      <w:r>
        <w:t xml:space="preserve">Positioning of This Work</w:t>
      </w:r>
    </w:p>
    <w:p>
      <w:pPr>
        <w:pStyle w:val="BodyText"/>
      </w:pPr>
      <w:r>
        <w:t xml:space="preserve">CFU Playground [4] is the closest system, and we reuse its 1×1 CFU and execution model unchanged. More specialized, fused CFU datapaths [6] and standalone accelerators [7] gain more per layer at much higher cost. The accelerator in [6] uses about 6× the LUTs and over 40× the DSP slices of our complete CFU. Arithmetic-level techniques [7], [8] and sparsity [9] are complementary. This work takes the intermediate point. It adds a small LUT-based 3×3 depthwise unit beside the 1×1 CFU, uses sliding-window reuse to exploit the intra-channel overlap that [6] leaves unused, and evaluates dense INT8 MobileNetV2 end to end, together with resources, timing, and correctness. Section III presents the architecture.</w:t>
      </w:r>
    </w:p>
    <w:p>
      <w:pPr>
        <w:pStyle w:val="Heading1"/>
      </w:pPr>
      <w:r>
        <w:t xml:space="preserve">Proposed System and CFU Architecture</w:t>
      </w:r>
    </w:p>
    <w:p>
      <w:pPr>
        <w:pStyle w:val="Heading2"/>
      </w:pPr>
      <w:r>
        <w:t xml:space="preserve">Overall CPU–CFU Architecture</w:t>
      </w:r>
    </w:p>
    <w:p>
      <w:pPr>
        <w:pStyle w:val="BodyText"/>
      </w:pPr>
      <w:r>
        <w:t xml:space="preserve">TFLM runs the INT8 MobileNetV2 on the VexRiscv core (Fig. 1). We keep the existing 1×1 CFU datapath unchanged and add a 3×3 depthwise datapath to the same CFU. The CPU invokes both through custom instructions. For 1×1 layers the CFU performs the whole layer. For 3×3 depthwise layers it computes only the nine-term dot product of each window. The CPU handles window addressing, bias, requantization and storing the output, and all remaining operators run in software.</w:t>
      </w:r>
    </w:p>
    <w:p>
      <w:pPr>
        <w:pStyle w:val="Heading2"/>
      </w:pPr>
      <w:r>
        <w:t xml:space="preserve">3×3 Depthwise CFU</w:t>
      </w:r>
    </w:p>
    <w:p>
      <w:pPr>
        <w:pStyle w:val="BodyText"/>
      </w:pPr>
      <w:r>
        <w:t xml:space="preserve">For one output position of one channel, the 3×3 input window is multiplied element-wise with that channel’s 3×3 weights and the nine products are summed into one value:</w:t>
      </w:r>
    </w:p>
    <w:p>
      <w:pPr>
        <w:spacing w:before="0pt" w:after="0pt" w:line="10pt" w:lineRule="exact"/>
        <w:jc w:val="center"/>
      </w:pPr>
      <w:r>
        <w:rPr>
          <w:rFonts w:ascii="Courier New" w:hAnsi="Courier New" w:cs="Courier New"/>
          <w:sz w:val="16"/>
        </w:rPr>
        <w:t xml:space="preserve">a b c     w0 w1 w2</w:t>
      </w:r>
    </w:p>
    <w:p>
      <w:pPr>
        <w:spacing w:before="0pt" w:after="0pt" w:line="10pt" w:lineRule="exact"/>
        <w:jc w:val="center"/>
      </w:pPr>
      <w:r>
        <w:rPr>
          <w:rFonts w:ascii="Courier New" w:hAnsi="Courier New" w:cs="Courier New"/>
          <w:sz w:val="16"/>
        </w:rPr>
        <w:t xml:space="preserve">d e f  ×  w3 w4 w5   →   Σ = a·w0 + b·w1 + … + i·w8</w:t>
      </w:r>
    </w:p>
    <w:p>
      <w:pPr>
        <w:spacing w:before="0pt" w:after="0pt" w:line="10pt" w:lineRule="exact"/>
        <w:jc w:val="center"/>
      </w:pPr>
      <w:r>
        <w:rPr>
          <w:rFonts w:ascii="Courier New" w:hAnsi="Courier New" w:cs="Courier New"/>
          <w:sz w:val="16"/>
        </w:rPr>
        <w:t xml:space="preserve">g h i     w6 w7 w8</w:t>
      </w:r>
    </w:p>
    <w:p>
      <w:pPr>
        <w:spacing w:after="2pt" w:line="4pt" w:lineRule="exact"/>
      </w:pPr>
    </w:p>
    <w:p>
      <w:pPr>
        <w:pStyle w:val="BodyText"/>
      </w:pPr>
      <w:r>
        <w:t xml:space="preserve">The CFU holds the current input window and weights in registers. The CPU programs the layer offsets once with CONFIGURE and supplies a window with LOAD. RUN then performs the nine multiply-accumulates, and GET_RESULT returns the sum. Table I summarizes the interface.</w:t>
      </w:r>
    </w:p>
    <w:p>
      <w:pPr>
        <w:pStyle w:val="tablehead"/>
      </w:pPr>
      <w:r>
        <w:t xml:space="preserve">3×3 depthwise CFU instructions</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300"/>
        <w:gridCol w:w="3700"/>
      </w:tblGrid>
      <w:tr>
        <w:trPr>
          <w:cantSplit/>
          <w:tblHeader/>
        </w:trPr>
        <w:tc>
          <w:tcPr>
            <w:tcW w:w="1300" w:type="dxa"/>
            <w:vAlign w:val="center"/>
          </w:tcPr>
          <w:p>
            <w:pPr>
              <w:pStyle w:val="tablecolhead"/>
              <w:spacing w:before="1pt" w:after="1pt"/>
              <w:jc w:val="start"/>
            </w:pPr>
            <w:r>
              <w:t xml:space="preserve">Instruction</w:t>
            </w:r>
          </w:p>
        </w:tc>
        <w:tc>
          <w:tcPr>
            <w:tcW w:w="3700" w:type="dxa"/>
            <w:vAlign w:val="center"/>
          </w:tcPr>
          <w:p>
            <w:pPr>
              <w:pStyle w:val="tablecolhead"/>
              <w:spacing w:before="1pt" w:after="1pt"/>
              <w:jc w:val="start"/>
            </w:pPr>
            <w:r>
              <w:t xml:space="preserve">Purpose</w:t>
            </w:r>
          </w:p>
        </w:tc>
      </w:tr>
      <w:tr>
        <w:trPr>
          <w:cantSplit/>
        </w:trPr>
        <w:tc>
          <w:tcPr>
            <w:tcW w:w="1300" w:type="dxa"/>
            <w:vAlign w:val="center"/>
          </w:tcPr>
          <w:p>
            <w:pPr>
              <w:pStyle w:val="tablecopy"/>
              <w:spacing w:before="1pt" w:after="1pt"/>
              <w:jc w:val="start"/>
            </w:pPr>
            <w:r>
              <w:t xml:space="preserve">CONFIGURE</w:t>
            </w:r>
          </w:p>
        </w:tc>
        <w:tc>
          <w:tcPr>
            <w:tcW w:w="3700" w:type="dxa"/>
            <w:vAlign w:val="center"/>
          </w:tcPr>
          <w:p>
            <w:pPr>
              <w:pStyle w:val="tablecopy"/>
              <w:spacing w:before="1pt" w:after="1pt"/>
              <w:jc w:val="start"/>
            </w:pPr>
            <w:r>
              <w:t xml:space="preserve">Set input and weight offsets for the layer</w:t>
            </w:r>
          </w:p>
        </w:tc>
      </w:tr>
      <w:tr>
        <w:trPr>
          <w:cantSplit/>
        </w:trPr>
        <w:tc>
          <w:tcPr>
            <w:tcW w:w="1300" w:type="dxa"/>
            <w:vAlign w:val="center"/>
          </w:tcPr>
          <w:p>
            <w:pPr>
              <w:pStyle w:val="tablecopy"/>
              <w:spacing w:before="1pt" w:after="1pt"/>
              <w:jc w:val="start"/>
            </w:pPr>
            <w:r>
              <w:t xml:space="preserve">LOAD</w:t>
            </w:r>
          </w:p>
        </w:tc>
        <w:tc>
          <w:tcPr>
            <w:tcW w:w="3700" w:type="dxa"/>
            <w:vAlign w:val="center"/>
          </w:tcPr>
          <w:p>
            <w:pPr>
              <w:pStyle w:val="tablecopy"/>
              <w:spacing w:before="1pt" w:after="1pt"/>
              <w:jc w:val="start"/>
            </w:pPr>
            <w:r>
              <w:t xml:space="preserve">Store part of the input window and weights (three calls per window)</w:t>
            </w:r>
          </w:p>
        </w:tc>
      </w:tr>
      <w:tr>
        <w:trPr>
          <w:cantSplit/>
        </w:trPr>
        <w:tc>
          <w:tcPr>
            <w:tcW w:w="1300" w:type="dxa"/>
            <w:vAlign w:val="center"/>
          </w:tcPr>
          <w:p>
            <w:pPr>
              <w:pStyle w:val="tablecopy"/>
              <w:spacing w:before="1pt" w:after="1pt"/>
              <w:jc w:val="start"/>
            </w:pPr>
            <w:r>
              <w:t xml:space="preserve">RUN</w:t>
            </w:r>
          </w:p>
        </w:tc>
        <w:tc>
          <w:tcPr>
            <w:tcW w:w="3700" w:type="dxa"/>
            <w:vAlign w:val="center"/>
          </w:tcPr>
          <w:p>
            <w:pPr>
              <w:pStyle w:val="tablecopy"/>
              <w:spacing w:before="1pt" w:after="1pt"/>
              <w:jc w:val="start"/>
            </w:pPr>
            <w:r>
              <w:t xml:space="preserve">Compute the nine multiply-accumulates; the CPU waits for completion</w:t>
            </w:r>
          </w:p>
        </w:tc>
      </w:tr>
      <w:tr>
        <w:trPr>
          <w:cantSplit/>
        </w:trPr>
        <w:tc>
          <w:tcPr>
            <w:tcW w:w="1300" w:type="dxa"/>
            <w:vAlign w:val="center"/>
          </w:tcPr>
          <w:p>
            <w:pPr>
              <w:pStyle w:val="tablecopy"/>
              <w:spacing w:before="1pt" w:after="1pt"/>
              <w:jc w:val="start"/>
            </w:pPr>
            <w:r>
              <w:t xml:space="preserve">GET_RESULT</w:t>
            </w:r>
          </w:p>
        </w:tc>
        <w:tc>
          <w:tcPr>
            <w:tcW w:w="3700" w:type="dxa"/>
            <w:vAlign w:val="center"/>
          </w:tcPr>
          <w:p>
            <w:pPr>
              <w:pStyle w:val="tablecopy"/>
              <w:spacing w:before="1pt" w:after="1pt"/>
              <w:jc w:val="start"/>
            </w:pPr>
            <w:r>
              <w:t xml:space="preserve">Read the 32-bit sum</w:t>
            </w:r>
          </w:p>
        </w:tc>
      </w:tr>
      <w:tr>
        <w:trPr>
          <w:cantSplit/>
        </w:trPr>
        <w:tc>
          <w:tcPr>
            <w:tcW w:w="1300" w:type="dxa"/>
            <w:vAlign w:val="center"/>
          </w:tcPr>
          <w:p>
            <w:pPr>
              <w:pStyle w:val="tablecopy"/>
              <w:spacing w:before="1pt" w:after="1pt"/>
              <w:jc w:val="start"/>
            </w:pPr>
            <w:r>
              <w:t xml:space="preserve">SHIFT_RIGHT</w:t>
            </w:r>
          </w:p>
        </w:tc>
        <w:tc>
          <w:tcPr>
            <w:tcW w:w="3700" w:type="dxa"/>
            <w:vAlign w:val="center"/>
          </w:tcPr>
          <w:p>
            <w:pPr>
              <w:pStyle w:val="tablecopy"/>
              <w:spacing w:before="1pt" w:after="1pt"/>
              <w:jc w:val="start"/>
            </w:pPr>
            <w:r>
              <w:t xml:space="preserve">Move the stored window one position right and insert a new column</w:t>
            </w:r>
          </w:p>
        </w:tc>
      </w:tr>
    </w:tbl>
    <w:p>
      <w:pPr>
        <w:spacing w:after="0pt" w:line="4pt" w:lineRule="exact"/>
      </w:pPr>
    </w:p>
    <w:p>
      <w:pPr>
        <w:pStyle w:val="Heading2"/>
      </w:pPr>
      <w:r>
        <w:t xml:space="preserve">Pipelined MAC</w:t>
      </w:r>
    </w:p>
    <w:p>
      <w:pPr>
        <w:pStyle w:val="BodyText"/>
      </w:pPr>
      <w:r>
        <w:t xml:space="preserve">Our first implementation multiplied nine pairs and summed all products in a single clock cycle, which formed a long critical path. The final design computes and registers the products during LOAD. RUN then reduces them through three registered addition stages (Fig. 3). This shortens the combinational path so the design meets the 75 MHz target.</w:t>
      </w:r>
    </w:p>
    <w:p>
      <w:pPr>
        <w:pStyle w:val="Heading2"/>
      </w:pPr>
      <w:r>
        <w:t xml:space="preserve">Sliding-Window Data Reuse</w:t>
      </w:r>
    </w:p>
    <w:p>
      <w:pPr>
        <w:pStyle w:val="BodyText"/>
      </w:pPr>
      <w:r>
        <w:t xml:space="preserve">At stride 1, neighbouring windows share six of nine inputs:</w:t>
      </w:r>
    </w:p>
    <w:p>
      <w:pPr>
        <w:spacing w:before="0pt" w:after="0pt" w:line="10pt" w:lineRule="exact"/>
        <w:jc w:val="center"/>
      </w:pPr>
      <w:r>
        <w:rPr>
          <w:rFonts w:ascii="Courier New" w:hAnsi="Courier New" w:cs="Courier New"/>
          <w:sz w:val="16"/>
        </w:rPr>
        <w:t xml:space="preserve">A B C        B C J</w:t>
      </w:r>
    </w:p>
    <w:p>
      <w:pPr>
        <w:spacing w:before="0pt" w:after="0pt" w:line="10pt" w:lineRule="exact"/>
        <w:jc w:val="center"/>
      </w:pPr>
      <w:r>
        <w:rPr>
          <w:rFonts w:ascii="Courier New" w:hAnsi="Courier New" w:cs="Courier New"/>
          <w:sz w:val="16"/>
        </w:rPr>
        <w:t xml:space="preserve">D E F   →    E F K</w:t>
      </w:r>
    </w:p>
    <w:p>
      <w:pPr>
        <w:spacing w:before="0pt" w:after="0pt" w:line="10pt" w:lineRule="exact"/>
        <w:jc w:val="center"/>
      </w:pPr>
      <w:r>
        <w:rPr>
          <w:rFonts w:ascii="Courier New" w:hAnsi="Courier New" w:cs="Courier New"/>
          <w:sz w:val="16"/>
        </w:rPr>
        <w:t xml:space="preserve">G H I        H I L</w:t>
      </w:r>
    </w:p>
    <w:p>
      <w:pPr>
        <w:spacing w:after="2pt" w:line="4pt" w:lineRule="exact"/>
      </w:pPr>
    </w:p>
    <w:p>
      <w:pPr>
        <w:pStyle w:val="BodyText"/>
      </w:pPr>
      <w:r>
        <w:t xml:space="preserve">Instead of loading the complete next window, the CFU keeps the current one and receives only the new rightmost column (J, K, L). The stored weights are reused for the same channel. SHIFT_RIGHT moves the stored window one position to the right and inserts that column. RUN performs the actual computation. The first window uses LOAD ×3 → RUN → GET_RESULT, and each next window uses SHIFT_RIGHT → RUN → GET_RESULT. Reuse applies only to stride-1 windows that lie fully inside the input. Stride-2 layers and border windows that overlap padding do not use it.</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Pr>
      <w:tblGrid>
        <w:gridCol w:w="5000"/>
      </w:tblGrid>
      <w:tr>
        <w:trPr>
          <w:cantSplit/>
          <w:trHeight w:val="2200" w:hRule="atLeast"/>
        </w:trPr>
        <w:tc>
          <w:tcPr>
            <w:tcW w:w="5000" w:type="dxa"/>
            <w:vAlign w:val="center"/>
          </w:tcPr>
          <w:p>
            <w:pPr>
              <w:pStyle w:val="tablecopy"/>
              <w:jc w:val="center"/>
            </w:pPr>
            <w:r>
              <w:rPr>
                <w:color w:val="808080"/>
              </w:rPr>
              <w:t xml:space="preserve">[FIGURE 3 PLACEHOLDER — single-column, ≈ 1.8 in]</w:t>
            </w:r>
          </w:p>
        </w:tc>
      </w:tr>
    </w:tbl>
    <w:p>
      <w:pPr>
        <w:spacing w:after="0pt" w:line="2pt" w:lineRule="exact"/>
      </w:pPr>
    </w:p>
    <w:p>
      <w:pPr>
        <w:pStyle w:val="figurecaption"/>
      </w:pPr>
      <w:r>
        <w:t xml:space="preserve">3×3 depthwise CFU datapath and sliding-window reuse. LOAD fills the input/weight windows and product registers; SHIFT_RIGHT inserts one new column (J, K, L) and retains six inputs and all weights; RUN drives the three-stage adder pipeline.</w:t>
      </w:r>
    </w:p>
    <w:p>
      <w:pPr>
        <w:pStyle w:val="Heading2"/>
      </w:pPr>
      <w:r>
        <w:t xml:space="preserve">Software/Hardware Integration</w:t>
      </w:r>
    </w:p>
    <w:p>
      <w:pPr>
        <w:pStyle w:val="BodyText"/>
      </w:pPr>
      <w:r>
        <w:t xml:space="preserve">The depthwise kernel uses the CFU for INT8 3×3 layers with stride 1 or 2, dilation 1, depth multiplier 1 and zero weight offset. All other cases use the reference software kernel. For eligible stride-1 regions, the software processes consecutive horizontal positions of the same output channel together. This keeps that channel’s weights in the CFU while the input window moves across the row. The first window of a row loads the complete window, and the following windows use SHIFT_RIGHT. After each GET_RESULT, the CPU applies bias, requantization and clamping and stores the INT8 output.</w:t>
      </w:r>
    </w:p>
    <w:p>
      <w:pPr>
        <w:pStyle w:val="Heading1"/>
      </w:pPr>
      <w:r>
        <w:t xml:space="preserve">Experimental Methodology</w:t>
      </w:r>
    </w:p>
    <w:p>
      <w:pPr>
        <w:pStyle w:val="Heading2"/>
      </w:pPr>
      <w:r>
        <w:t xml:space="preserve">Workload and Platform</w:t>
      </w:r>
    </w:p>
    <w:p>
      <w:pPr>
        <w:pStyle w:val="BodyText"/>
      </w:pPr>
      <w:r>
        <w:t xml:space="preserve">All configurations run the same INT8 MobileNetV2 (width 0.35) on the same embedded 224×224 image (Table II). Resources and timing come from Vivado 2024.1 builds of the SoC.</w:t>
      </w:r>
    </w:p>
    <w:p>
      <w:pPr>
        <w:pStyle w:val="tablehead"/>
      </w:pPr>
      <w:r>
        <w:t xml:space="preserve">Platform and configurations</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200"/>
        <w:gridCol w:w="3800"/>
      </w:tblGrid>
      <w:tr>
        <w:trPr>
          <w:cantSplit/>
          <w:tblHeader/>
        </w:trPr>
        <w:tc>
          <w:tcPr>
            <w:tcW w:w="1200" w:type="dxa"/>
            <w:vAlign w:val="center"/>
          </w:tcPr>
          <w:p>
            <w:pPr>
              <w:pStyle w:val="tablecolhead"/>
              <w:spacing w:before="1pt" w:after="1pt"/>
              <w:jc w:val="start"/>
            </w:pPr>
            <w:r>
              <w:t xml:space="preserve">Item</w:t>
            </w:r>
          </w:p>
        </w:tc>
        <w:tc>
          <w:tcPr>
            <w:tcW w:w="3800" w:type="dxa"/>
            <w:vAlign w:val="center"/>
          </w:tcPr>
          <w:p>
            <w:pPr>
              <w:pStyle w:val="tablecolhead"/>
              <w:spacing w:before="1pt" w:after="1pt"/>
              <w:jc w:val="start"/>
            </w:pPr>
            <w:r>
              <w:t xml:space="preserve">Value</w:t>
            </w:r>
          </w:p>
        </w:tc>
      </w:tr>
      <w:tr>
        <w:trPr>
          <w:cantSplit/>
        </w:trPr>
        <w:tc>
          <w:tcPr>
            <w:tcW w:w="1200" w:type="dxa"/>
            <w:vAlign w:val="center"/>
          </w:tcPr>
          <w:p>
            <w:pPr>
              <w:pStyle w:val="tablecopy"/>
              <w:spacing w:before="1pt" w:after="1pt"/>
              <w:jc w:val="start"/>
            </w:pPr>
            <w:r>
              <w:t xml:space="preserve">Model</w:t>
            </w:r>
          </w:p>
        </w:tc>
        <w:tc>
          <w:tcPr>
            <w:tcW w:w="3800" w:type="dxa"/>
            <w:vAlign w:val="center"/>
          </w:tcPr>
          <w:p>
            <w:pPr>
              <w:pStyle w:val="tablecopy"/>
              <w:spacing w:before="1pt" w:after="1pt"/>
              <w:jc w:val="start"/>
            </w:pPr>
            <w:r>
              <w:t xml:space="preserve">MobileNetV2 a0.35, mobilenetv2_a035_224_int8.tflite</w:t>
            </w:r>
          </w:p>
        </w:tc>
      </w:tr>
      <w:tr>
        <w:trPr>
          <w:cantSplit/>
        </w:trPr>
        <w:tc>
          <w:tcPr>
            <w:tcW w:w="1200" w:type="dxa"/>
            <w:vAlign w:val="center"/>
          </w:tcPr>
          <w:p>
            <w:pPr>
              <w:pStyle w:val="tablecopy"/>
              <w:spacing w:before="1pt" w:after="1pt"/>
              <w:jc w:val="start"/>
            </w:pPr>
            <w:r>
              <w:t xml:space="preserve">Input / precision</w:t>
            </w:r>
          </w:p>
        </w:tc>
        <w:tc>
          <w:tcPr>
            <w:tcW w:w="3800" w:type="dxa"/>
            <w:vAlign w:val="center"/>
          </w:tcPr>
          <w:p>
            <w:pPr>
              <w:pStyle w:val="tablecopy"/>
              <w:spacing w:before="1pt" w:after="1pt"/>
              <w:jc w:val="start"/>
            </w:pPr>
            <w:r>
              <w:t xml:space="preserve">224×224×3 UINT8 image; INT8 internal; FLOAT32 output</w:t>
            </w:r>
          </w:p>
        </w:tc>
      </w:tr>
      <w:tr>
        <w:trPr>
          <w:cantSplit/>
        </w:trPr>
        <w:tc>
          <w:tcPr>
            <w:tcW w:w="1200" w:type="dxa"/>
            <w:vAlign w:val="center"/>
          </w:tcPr>
          <w:p>
            <w:pPr>
              <w:pStyle w:val="tablecopy"/>
              <w:spacing w:before="1pt" w:after="1pt"/>
              <w:jc w:val="start"/>
            </w:pPr>
            <w:r>
              <w:t xml:space="preserve">Processor</w:t>
            </w:r>
          </w:p>
        </w:tc>
        <w:tc>
          <w:tcPr>
            <w:tcW w:w="3800" w:type="dxa"/>
            <w:vAlign w:val="center"/>
          </w:tcPr>
          <w:p>
            <w:pPr>
              <w:pStyle w:val="tablecopy"/>
              <w:spacing w:before="1pt" w:after="1pt"/>
              <w:jc w:val="start"/>
            </w:pPr>
            <w:r>
              <w:t xml:space="preserve">VexRiscv (LiteX/CFU-Playground SoC)</w:t>
            </w:r>
          </w:p>
        </w:tc>
      </w:tr>
      <w:tr>
        <w:trPr>
          <w:cantSplit/>
        </w:trPr>
        <w:tc>
          <w:tcPr>
            <w:tcW w:w="1200" w:type="dxa"/>
            <w:vAlign w:val="center"/>
          </w:tcPr>
          <w:p>
            <w:pPr>
              <w:pStyle w:val="tablecopy"/>
              <w:spacing w:before="1pt" w:after="1pt"/>
              <w:jc w:val="start"/>
            </w:pPr>
            <w:r>
              <w:t xml:space="preserve">FPGA / clock</w:t>
            </w:r>
          </w:p>
        </w:tc>
        <w:tc>
          <w:tcPr>
            <w:tcW w:w="3800" w:type="dxa"/>
            <w:vAlign w:val="center"/>
          </w:tcPr>
          <w:p>
            <w:pPr>
              <w:pStyle w:val="tablecopy"/>
              <w:spacing w:before="1pt" w:after="1pt"/>
              <w:jc w:val="start"/>
            </w:pPr>
            <w:r>
              <w:t xml:space="preserve">XC7A100T (Nexys4 DDR target); 75 MHz system clock</w:t>
            </w:r>
          </w:p>
        </w:tc>
      </w:tr>
      <w:tr>
        <w:trPr>
          <w:cantSplit/>
        </w:trPr>
        <w:tc>
          <w:tcPr>
            <w:tcW w:w="1200" w:type="dxa"/>
            <w:vAlign w:val="center"/>
          </w:tcPr>
          <w:p>
            <w:pPr>
              <w:pStyle w:val="tablecopy"/>
              <w:spacing w:before="1pt" w:after="1pt"/>
              <w:jc w:val="start"/>
            </w:pPr>
            <w:r>
              <w:t xml:space="preserve">Tools</w:t>
            </w:r>
          </w:p>
        </w:tc>
        <w:tc>
          <w:tcPr>
            <w:tcW w:w="3800" w:type="dxa"/>
            <w:vAlign w:val="center"/>
          </w:tcPr>
          <w:p>
            <w:pPr>
              <w:pStyle w:val="tablecopy"/>
              <w:spacing w:before="1pt" w:after="1pt"/>
              <w:jc w:val="start"/>
            </w:pPr>
            <w:r>
              <w:t xml:space="preserve">TFLM, Amaranth, Vivado 2024.1</w:t>
            </w:r>
          </w:p>
        </w:tc>
      </w:tr>
      <w:tr>
        <w:trPr>
          <w:cantSplit/>
        </w:trPr>
        <w:tc>
          <w:tcPr>
            <w:tcW w:w="1200" w:type="dxa"/>
            <w:vAlign w:val="center"/>
          </w:tcPr>
          <w:p>
            <w:pPr>
              <w:pStyle w:val="tablecopy"/>
              <w:spacing w:before="1pt" w:after="1pt"/>
              <w:jc w:val="start"/>
            </w:pPr>
            <w:r>
              <w:t xml:space="preserve">Cycle-count platform</w:t>
            </w:r>
          </w:p>
        </w:tc>
        <w:tc>
          <w:tcPr>
            <w:tcW w:w="3800" w:type="dxa"/>
            <w:vAlign w:val="center"/>
          </w:tcPr>
          <w:p>
            <w:pPr>
              <w:pStyle w:val="tablecopy"/>
              <w:spacing w:before="1pt" w:after="1pt"/>
              <w:jc w:val="start"/>
            </w:pPr>
            <w:r>
              <w:t xml:space="preserve">[PENDING: simulation or board]</w:t>
            </w:r>
          </w:p>
        </w:tc>
      </w:tr>
      <w:tr>
        <w:trPr>
          <w:cantSplit/>
        </w:trPr>
        <w:tc>
          <w:tcPr>
            <w:tcW w:w="1200" w:type="dxa"/>
            <w:vAlign w:val="center"/>
          </w:tcPr>
          <w:p>
            <w:pPr>
              <w:pStyle w:val="tablecopy"/>
              <w:spacing w:before="1pt" w:after="1pt"/>
              <w:jc w:val="start"/>
            </w:pPr>
            <w:r>
              <w:rPr>
                <w:b/>
                <w:bCs/>
              </w:rPr>
              <w:t xml:space="preserve">C1</w:t>
            </w:r>
          </w:p>
        </w:tc>
        <w:tc>
          <w:tcPr>
            <w:tcW w:w="3800" w:type="dxa"/>
            <w:vAlign w:val="center"/>
          </w:tcPr>
          <w:p>
            <w:pPr>
              <w:pStyle w:val="tablecopy"/>
              <w:spacing w:before="1pt" w:after="1pt"/>
              <w:jc w:val="start"/>
            </w:pPr>
            <w:r>
              <w:t xml:space="preserve">Existing 1×1 CFU (baseline)</w:t>
            </w:r>
          </w:p>
        </w:tc>
      </w:tr>
      <w:tr>
        <w:trPr>
          <w:cantSplit/>
        </w:trPr>
        <w:tc>
          <w:tcPr>
            <w:tcW w:w="1200" w:type="dxa"/>
            <w:vAlign w:val="center"/>
          </w:tcPr>
          <w:p>
            <w:pPr>
              <w:pStyle w:val="tablecopy"/>
              <w:spacing w:before="1pt" w:after="1pt"/>
              <w:jc w:val="start"/>
            </w:pPr>
            <w:r>
              <w:rPr>
                <w:b/>
                <w:bCs/>
              </w:rPr>
              <w:t xml:space="preserve">C2</w:t>
            </w:r>
          </w:p>
        </w:tc>
        <w:tc>
          <w:tcPr>
            <w:tcW w:w="3800" w:type="dxa"/>
            <w:vAlign w:val="center"/>
          </w:tcPr>
          <w:p>
            <w:pPr>
              <w:pStyle w:val="tablecopy"/>
              <w:spacing w:before="1pt" w:after="1pt"/>
              <w:jc w:val="start"/>
            </w:pPr>
            <w:r>
              <w:t xml:space="preserve">C1 + 3×3 depthwise CFU</w:t>
            </w:r>
          </w:p>
        </w:tc>
      </w:tr>
      <w:tr>
        <w:trPr>
          <w:cantSplit/>
        </w:trPr>
        <w:tc>
          <w:tcPr>
            <w:tcW w:w="1200" w:type="dxa"/>
            <w:vAlign w:val="center"/>
          </w:tcPr>
          <w:p>
            <w:pPr>
              <w:pStyle w:val="tablecopy"/>
              <w:spacing w:before="1pt" w:after="1pt"/>
              <w:jc w:val="start"/>
            </w:pPr>
            <w:r>
              <w:rPr>
                <w:b/>
                <w:bCs/>
              </w:rPr>
              <w:t xml:space="preserve">C3</w:t>
            </w:r>
          </w:p>
        </w:tc>
        <w:tc>
          <w:tcPr>
            <w:tcW w:w="3800" w:type="dxa"/>
            <w:vAlign w:val="center"/>
          </w:tcPr>
          <w:p>
            <w:pPr>
              <w:pStyle w:val="tablecopy"/>
              <w:spacing w:before="1pt" w:after="1pt"/>
              <w:jc w:val="start"/>
            </w:pPr>
            <w:r>
              <w:t xml:space="preserve">C2 + sliding-window reuse</w:t>
            </w:r>
          </w:p>
        </w:tc>
      </w:tr>
    </w:tbl>
    <w:p>
      <w:pPr>
        <w:spacing w:after="0pt" w:line="4pt" w:lineRule="exact"/>
      </w:pPr>
    </w:p>
    <w:p>
      <w:pPr>
        <w:pStyle w:val="Heading2"/>
      </w:pPr>
      <w:r>
        <w:t xml:space="preserve">Experimental Configurations</w:t>
      </w:r>
    </w:p>
    <w:p>
      <w:pPr>
        <w:pStyle w:val="BodyText"/>
      </w:pPr>
      <w:r>
        <w:t xml:space="preserve">The three configurations form an incremental ablation. C1 is the baseline, C2 isolates the contribution of the 3×3 CFU, and C3 isolates the contribution of window reuse. They use the same model, input and profiler and differ only in the accelerator build.</w:t>
      </w:r>
    </w:p>
    <w:p>
      <w:pPr>
        <w:pStyle w:val="Heading2"/>
      </w:pPr>
      <w:r>
        <w:t xml:space="preserve">Evaluation Metrics</w:t>
      </w:r>
    </w:p>
    <w:p>
      <w:pPr>
        <w:pStyle w:val="BodyText"/>
      </w:pPr>
      <w:r>
        <w:t xml:space="preserve">We measure end-to-end inference cycles as the overall performance outcome, and per-operator profiler ticks to locate where time is spent. CFU instruction counts quantify data movement; they reflect instruction traffic, not time. Post-place LUT, FF, BRAM and DSP usage give the hardware cost, and post-route WNS, TNS and failing endpoints give timing. Unit-test results, top-1 class and score assess functional correctness.</w:t>
      </w:r>
    </w:p>
    <w:p>
      <w:pPr>
        <w:pStyle w:val="Heading2"/>
      </w:pPr>
      <w:r>
        <w:t xml:space="preserve">Verification</w:t>
      </w:r>
    </w:p>
    <w:p>
      <w:pPr>
        <w:pStyle w:val="BodyText"/>
      </w:pPr>
      <w:r>
        <w:t xml:space="preserve">The CFU is verified by 25 gateware unit tests in simulation, covering the 3×3 MAC, window shifting and the instruction interface. Software equivalence is checked with per-layer checksums and instruction counters in a dedicated build. End-to-end, C1–C3 run the same input and their outputs are compared.</w:t>
      </w:r>
    </w:p>
    <w:p>
      <w:pPr>
        <w:pStyle w:val="Heading1"/>
      </w:pPr>
      <w:r>
        <w:t xml:space="preserve">Results and Discussion</w:t>
      </w:r>
    </w:p>
    <w:p>
      <w:pPr>
        <w:pStyle w:val="Heading2"/>
      </w:pPr>
      <w:r>
        <w:t xml:space="preserve">End-to-End Performance</w:t>
      </w:r>
    </w:p>
    <w:p>
      <w:pPr>
        <w:pStyle w:val="tablehead"/>
      </w:pPr>
      <w:r>
        <w:t xml:space="preserve">Performance (one run per configuration)</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700"/>
        <w:gridCol w:w="1100"/>
        <w:gridCol w:w="1100"/>
        <w:gridCol w:w="1100"/>
      </w:tblGrid>
      <w:tr>
        <w:trPr>
          <w:cantSplit/>
          <w:tblHeader/>
        </w:trPr>
        <w:tc>
          <w:tcPr>
            <w:tcW w:w="1700" w:type="dxa"/>
            <w:vAlign w:val="center"/>
          </w:tcPr>
          <w:p>
            <w:pPr>
              <w:pStyle w:val="tablecolhead"/>
              <w:spacing w:before="1pt" w:after="1pt"/>
              <w:jc w:val="start"/>
            </w:pPr>
            <w:r>
              <w:t xml:space="preserve">Metric</w:t>
            </w:r>
          </w:p>
        </w:tc>
        <w:tc>
          <w:tcPr>
            <w:tcW w:w="1100" w:type="dxa"/>
            <w:vAlign w:val="center"/>
          </w:tcPr>
          <w:p>
            <w:pPr>
              <w:pStyle w:val="tablecolhead"/>
              <w:spacing w:before="1pt" w:after="1pt"/>
              <w:jc w:val="center"/>
            </w:pPr>
            <w:r>
              <w:t xml:space="preserve">C1</w:t>
            </w:r>
          </w:p>
        </w:tc>
        <w:tc>
          <w:tcPr>
            <w:tcW w:w="1100" w:type="dxa"/>
            <w:vAlign w:val="center"/>
          </w:tcPr>
          <w:p>
            <w:pPr>
              <w:pStyle w:val="tablecolhead"/>
              <w:spacing w:before="1pt" w:after="1pt"/>
              <w:jc w:val="center"/>
            </w:pPr>
            <w:r>
              <w:t xml:space="preserve">C2</w:t>
            </w:r>
          </w:p>
        </w:tc>
        <w:tc>
          <w:tcPr>
            <w:tcW w:w="1100" w:type="dxa"/>
            <w:vAlign w:val="center"/>
          </w:tcPr>
          <w:p>
            <w:pPr>
              <w:pStyle w:val="tablecolhead"/>
              <w:spacing w:before="1pt" w:after="1pt"/>
              <w:jc w:val="center"/>
            </w:pPr>
            <w:r>
              <w:t xml:space="preserve">C3</w:t>
            </w:r>
          </w:p>
        </w:tc>
      </w:tr>
      <w:tr>
        <w:trPr>
          <w:cantSplit/>
        </w:trPr>
        <w:tc>
          <w:tcPr>
            <w:tcW w:w="1700" w:type="dxa"/>
            <w:vAlign w:val="center"/>
          </w:tcPr>
          <w:p>
            <w:pPr>
              <w:pStyle w:val="tablecopy"/>
              <w:spacing w:before="1pt" w:after="1pt"/>
              <w:jc w:val="start"/>
            </w:pPr>
            <w:r>
              <w:t xml:space="preserve">Inference cycles</w:t>
            </w:r>
          </w:p>
        </w:tc>
        <w:tc>
          <w:tcPr>
            <w:tcW w:w="1100" w:type="dxa"/>
            <w:vAlign w:val="center"/>
          </w:tcPr>
          <w:p>
            <w:pPr>
              <w:pStyle w:val="tablecopy"/>
              <w:spacing w:before="1pt" w:after="1pt"/>
              <w:jc w:val="center"/>
            </w:pPr>
            <w:r>
              <w:t xml:space="preserve">828,991,457</w:t>
            </w:r>
          </w:p>
        </w:tc>
        <w:tc>
          <w:tcPr>
            <w:tcW w:w="1100" w:type="dxa"/>
            <w:vAlign w:val="center"/>
          </w:tcPr>
          <w:p>
            <w:pPr>
              <w:pStyle w:val="tablecopy"/>
              <w:spacing w:before="1pt" w:after="1pt"/>
              <w:jc w:val="center"/>
            </w:pPr>
            <w:r>
              <w:t xml:space="preserve">615,396,021</w:t>
            </w:r>
          </w:p>
        </w:tc>
        <w:tc>
          <w:tcPr>
            <w:tcW w:w="1100" w:type="dxa"/>
            <w:vAlign w:val="center"/>
          </w:tcPr>
          <w:p>
            <w:pPr>
              <w:pStyle w:val="tablecopy"/>
              <w:spacing w:before="1pt" w:after="1pt"/>
              <w:jc w:val="center"/>
            </w:pPr>
            <w:r>
              <w:t xml:space="preserve">573,258,998</w:t>
            </w:r>
          </w:p>
        </w:tc>
      </w:tr>
      <w:tr>
        <w:trPr>
          <w:cantSplit/>
        </w:trPr>
        <w:tc>
          <w:tcPr>
            <w:tcW w:w="1700" w:type="dxa"/>
            <w:vAlign w:val="center"/>
          </w:tcPr>
          <w:p>
            <w:pPr>
              <w:pStyle w:val="tablecopy"/>
              <w:spacing w:before="1pt" w:after="1pt"/>
              <w:jc w:val="start"/>
            </w:pPr>
            <w:r>
              <w:t xml:space="preserve">Speedup vs. C1</w:t>
            </w:r>
          </w:p>
        </w:tc>
        <w:tc>
          <w:tcPr>
            <w:tcW w:w="1100" w:type="dxa"/>
            <w:vAlign w:val="center"/>
          </w:tcPr>
          <w:p>
            <w:pPr>
              <w:pStyle w:val="tablecopy"/>
              <w:spacing w:before="1pt" w:after="1pt"/>
              <w:jc w:val="center"/>
            </w:pPr>
            <w:r>
              <w:t xml:space="preserve">1.00×</w:t>
            </w:r>
          </w:p>
        </w:tc>
        <w:tc>
          <w:tcPr>
            <w:tcW w:w="1100" w:type="dxa"/>
            <w:vAlign w:val="center"/>
          </w:tcPr>
          <w:p>
            <w:pPr>
              <w:pStyle w:val="tablecopy"/>
              <w:spacing w:before="1pt" w:after="1pt"/>
              <w:jc w:val="center"/>
            </w:pPr>
            <w:r>
              <w:t xml:space="preserve">1.35×</w:t>
            </w:r>
          </w:p>
        </w:tc>
        <w:tc>
          <w:tcPr>
            <w:tcW w:w="1100" w:type="dxa"/>
            <w:vAlign w:val="center"/>
          </w:tcPr>
          <w:p>
            <w:pPr>
              <w:pStyle w:val="tablecopy"/>
              <w:spacing w:before="1pt" w:after="1pt"/>
              <w:jc w:val="center"/>
            </w:pPr>
            <w:r>
              <w:t xml:space="preserve">1.45×</w:t>
            </w:r>
          </w:p>
        </w:tc>
      </w:tr>
      <w:tr>
        <w:trPr>
          <w:cantSplit/>
        </w:trPr>
        <w:tc>
          <w:tcPr>
            <w:tcW w:w="1700" w:type="dxa"/>
            <w:vAlign w:val="center"/>
          </w:tcPr>
          <w:p>
            <w:pPr>
              <w:pStyle w:val="tablecopy"/>
              <w:spacing w:before="1pt" w:after="1pt"/>
              <w:jc w:val="start"/>
            </w:pPr>
            <w:r>
              <w:t xml:space="preserve">Cycle reduction vs. C1</w:t>
            </w:r>
          </w:p>
        </w:tc>
        <w:tc>
          <w:tcPr>
            <w:tcW w:w="1100" w:type="dxa"/>
            <w:vAlign w:val="center"/>
          </w:tcPr>
          <w:p>
            <w:pPr>
              <w:pStyle w:val="tablecopy"/>
              <w:spacing w:before="1pt" w:after="1pt"/>
              <w:jc w:val="center"/>
            </w:pPr>
            <w:r>
              <w:t xml:space="preserve">–</w:t>
            </w:r>
          </w:p>
        </w:tc>
        <w:tc>
          <w:tcPr>
            <w:tcW w:w="1100" w:type="dxa"/>
            <w:vAlign w:val="center"/>
          </w:tcPr>
          <w:p>
            <w:pPr>
              <w:pStyle w:val="tablecopy"/>
              <w:spacing w:before="1pt" w:after="1pt"/>
              <w:jc w:val="center"/>
            </w:pPr>
            <w:r>
              <w:t xml:space="preserve">25.8%</w:t>
            </w:r>
          </w:p>
        </w:tc>
        <w:tc>
          <w:tcPr>
            <w:tcW w:w="1100" w:type="dxa"/>
            <w:vAlign w:val="center"/>
          </w:tcPr>
          <w:p>
            <w:pPr>
              <w:pStyle w:val="tablecopy"/>
              <w:spacing w:before="1pt" w:after="1pt"/>
              <w:jc w:val="center"/>
            </w:pPr>
            <w:r>
              <w:t xml:space="preserve">30.8%</w:t>
            </w:r>
          </w:p>
        </w:tc>
      </w:tr>
      <w:tr>
        <w:trPr>
          <w:cantSplit/>
        </w:trPr>
        <w:tc>
          <w:tcPr>
            <w:tcW w:w="1700" w:type="dxa"/>
            <w:vAlign w:val="center"/>
          </w:tcPr>
          <w:p>
            <w:pPr>
              <w:pStyle w:val="tablecopy"/>
              <w:spacing w:before="1pt" w:after="1pt"/>
              <w:jc w:val="start"/>
            </w:pPr>
            <w:r>
              <w:t xml:space="preserve">Depthwise share of profile</w:t>
            </w:r>
          </w:p>
        </w:tc>
        <w:tc>
          <w:tcPr>
            <w:tcW w:w="1100" w:type="dxa"/>
            <w:vAlign w:val="center"/>
          </w:tcPr>
          <w:p>
            <w:pPr>
              <w:pStyle w:val="tablecopy"/>
              <w:spacing w:before="1pt" w:after="1pt"/>
              <w:jc w:val="center"/>
            </w:pPr>
            <w:r>
              <w:t xml:space="preserve">70.4%</w:t>
            </w:r>
          </w:p>
        </w:tc>
        <w:tc>
          <w:tcPr>
            <w:tcW w:w="1100" w:type="dxa"/>
            <w:vAlign w:val="center"/>
          </w:tcPr>
          <w:p>
            <w:pPr>
              <w:pStyle w:val="tablecopy"/>
              <w:spacing w:before="1pt" w:after="1pt"/>
              <w:jc w:val="center"/>
            </w:pPr>
            <w:r>
              <w:t xml:space="preserve">60.1%</w:t>
            </w:r>
          </w:p>
        </w:tc>
        <w:tc>
          <w:tcPr>
            <w:tcW w:w="1100" w:type="dxa"/>
            <w:vAlign w:val="center"/>
          </w:tcPr>
          <w:p>
            <w:pPr>
              <w:pStyle w:val="tablecopy"/>
              <w:spacing w:before="1pt" w:after="1pt"/>
              <w:jc w:val="center"/>
            </w:pPr>
            <w:r>
              <w:t xml:space="preserve">55.3%</w:t>
            </w:r>
          </w:p>
        </w:tc>
      </w:tr>
      <w:tr>
        <w:trPr>
          <w:cantSplit/>
        </w:trPr>
        <w:tc>
          <w:tcPr>
            <w:tcW w:w="1700" w:type="dxa"/>
            <w:vAlign w:val="center"/>
          </w:tcPr>
          <w:p>
            <w:pPr>
              <w:pStyle w:val="tablecopy"/>
              <w:spacing w:before="1pt" w:after="1pt"/>
              <w:jc w:val="start"/>
            </w:pPr>
            <w:r>
              <w:t xml:space="preserve">LOAD instructions</w:t>
            </w:r>
          </w:p>
        </w:tc>
        <w:tc>
          <w:tcPr>
            <w:tcW w:w="1100" w:type="dxa"/>
            <w:vAlign w:val="center"/>
          </w:tcPr>
          <w:p>
            <w:pPr>
              <w:pStyle w:val="tablecopy"/>
              <w:spacing w:before="1pt" w:after="1pt"/>
              <w:jc w:val="center"/>
            </w:pPr>
            <w:r>
              <w:t xml:space="preserve">–</w:t>
            </w:r>
          </w:p>
        </w:tc>
        <w:tc>
          <w:tcPr>
            <w:tcW w:w="1100" w:type="dxa"/>
            <w:vAlign w:val="center"/>
          </w:tcPr>
          <w:p>
            <w:pPr>
              <w:pStyle w:val="tablecopy"/>
              <w:spacing w:before="1pt" w:after="1pt"/>
              <w:jc w:val="center"/>
            </w:pPr>
            <w:r>
              <w:t xml:space="preserve">2,529,552</w:t>
            </w:r>
          </w:p>
        </w:tc>
        <w:tc>
          <w:tcPr>
            <w:tcW w:w="1100" w:type="dxa"/>
            <w:vAlign w:val="center"/>
          </w:tcPr>
          <w:p>
            <w:pPr>
              <w:pStyle w:val="tablecopy"/>
              <w:spacing w:before="1pt" w:after="1pt"/>
              <w:jc w:val="center"/>
            </w:pPr>
            <w:r>
              <w:t xml:space="preserve">726,864</w:t>
            </w:r>
          </w:p>
        </w:tc>
      </w:tr>
      <w:tr>
        <w:trPr>
          <w:cantSplit/>
        </w:trPr>
        <w:tc>
          <w:tcPr>
            <w:tcW w:w="1700" w:type="dxa"/>
            <w:vAlign w:val="center"/>
          </w:tcPr>
          <w:p>
            <w:pPr>
              <w:pStyle w:val="tablecopy"/>
              <w:spacing w:before="1pt" w:after="1pt"/>
              <w:jc w:val="start"/>
            </w:pPr>
            <w:r>
              <w:t xml:space="preserve">SHIFT_RIGHT instructions</w:t>
            </w:r>
          </w:p>
        </w:tc>
        <w:tc>
          <w:tcPr>
            <w:tcW w:w="1100" w:type="dxa"/>
            <w:vAlign w:val="center"/>
          </w:tcPr>
          <w:p>
            <w:pPr>
              <w:pStyle w:val="tablecopy"/>
              <w:spacing w:before="1pt" w:after="1pt"/>
              <w:jc w:val="center"/>
            </w:pPr>
            <w:r>
              <w:t xml:space="preserve">–</w:t>
            </w:r>
          </w:p>
        </w:tc>
        <w:tc>
          <w:tcPr>
            <w:tcW w:w="1100" w:type="dxa"/>
            <w:vAlign w:val="center"/>
          </w:tcPr>
          <w:p>
            <w:pPr>
              <w:pStyle w:val="tablecopy"/>
              <w:spacing w:before="1pt" w:after="1pt"/>
              <w:jc w:val="center"/>
            </w:pPr>
            <w:r>
              <w:t xml:space="preserve">0</w:t>
            </w:r>
          </w:p>
        </w:tc>
        <w:tc>
          <w:tcPr>
            <w:tcW w:w="1100" w:type="dxa"/>
            <w:vAlign w:val="center"/>
          </w:tcPr>
          <w:p>
            <w:pPr>
              <w:pStyle w:val="tablecopy"/>
              <w:spacing w:before="1pt" w:after="1pt"/>
              <w:jc w:val="center"/>
            </w:pPr>
            <w:r>
              <w:t xml:space="preserve">600,896</w:t>
            </w:r>
          </w:p>
        </w:tc>
      </w:tr>
    </w:tbl>
    <w:p>
      <w:pPr>
        <w:pStyle w:val="tablefootnote"/>
        <w:spacing w:before="2pt" w:after="6pt"/>
      </w:pPr>
      <w:r>
        <w:t xml:space="preserve">LOAD/SHIFT_RIGHT counts are derived analytically from the layer shapes.</w:t>
      </w:r>
    </w:p>
    <w:p>
      <w:pPr>
        <w:pStyle w:val="BodyText"/>
      </w:pPr>
      <w:r>
        <w:t xml:space="preserve">Moving 3×3 depthwise computation from software into the CFU (C2) gives the main improvement over C1. Reusing overlapping windows (C3) improves cycles further. Together the proposed additions reduce inference cycles by 30.8% relative to C1. Depthwise layers still account for over half of the profile in C3.</w:t>
      </w:r>
    </w:p>
    <w:p>
      <w:pPr>
        <w:pStyle w:val="Heading2"/>
      </w:pPr>
      <w:r>
        <w:t xml:space="preserve">Sliding-Window Effect</w:t>
      </w:r>
    </w:p>
    <w:p>
      <w:pPr>
        <w:pStyle w:val="BodyText"/>
      </w:pPr>
      <w:r>
        <w:t xml:space="preserve">Window reuse reduces LOAD instructions by about 71% (Table III). The end-to-end gain is much smaller, because every window still needs RUN, GET_RESULT and software-side processing.</w:t>
      </w:r>
    </w:p>
    <w:p>
      <w:pPr>
        <w:pStyle w:val="Heading2"/>
      </w:pPr>
      <w:r>
        <w:t xml:space="preserve">FPGA Resources and Timing</w:t>
      </w:r>
    </w:p>
    <w:p>
      <w:pPr>
        <w:pStyle w:val="tablehead"/>
      </w:pPr>
      <w:r>
        <w:t xml:space="preserve">Post-place resources and post-route timing (75 MHz)</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700"/>
        <w:gridCol w:w="1100"/>
        <w:gridCol w:w="1100"/>
        <w:gridCol w:w="1100"/>
      </w:tblGrid>
      <w:tr>
        <w:trPr>
          <w:cantSplit/>
          <w:tblHeader/>
        </w:trPr>
        <w:tc>
          <w:tcPr>
            <w:tcW w:w="1700" w:type="dxa"/>
            <w:vAlign w:val="center"/>
          </w:tcPr>
          <w:p>
            <w:pPr>
              <w:pStyle w:val="tablecolhead"/>
              <w:spacing w:before="1pt" w:after="1pt"/>
              <w:jc w:val="start"/>
            </w:pPr>
            <w:r>
              <w:t xml:space="preserve">Metric</w:t>
            </w:r>
          </w:p>
        </w:tc>
        <w:tc>
          <w:tcPr>
            <w:tcW w:w="1100" w:type="dxa"/>
            <w:vAlign w:val="center"/>
          </w:tcPr>
          <w:p>
            <w:pPr>
              <w:pStyle w:val="tablecolhead"/>
              <w:spacing w:before="1pt" w:after="1pt"/>
              <w:jc w:val="center"/>
            </w:pPr>
            <w:r>
              <w:t xml:space="preserve">C1</w:t>
            </w:r>
          </w:p>
        </w:tc>
        <w:tc>
          <w:tcPr>
            <w:tcW w:w="1100" w:type="dxa"/>
            <w:vAlign w:val="center"/>
          </w:tcPr>
          <w:p>
            <w:pPr>
              <w:pStyle w:val="tablecolhead"/>
              <w:spacing w:before="1pt" w:after="1pt"/>
              <w:jc w:val="center"/>
            </w:pPr>
            <w:r>
              <w:t xml:space="preserve">C2</w:t>
            </w:r>
          </w:p>
        </w:tc>
        <w:tc>
          <w:tcPr>
            <w:tcW w:w="1100" w:type="dxa"/>
            <w:vAlign w:val="center"/>
          </w:tcPr>
          <w:p>
            <w:pPr>
              <w:pStyle w:val="tablecolhead"/>
              <w:spacing w:before="1pt" w:after="1pt"/>
              <w:jc w:val="center"/>
            </w:pPr>
            <w:r>
              <w:t xml:space="preserve">C3</w:t>
            </w:r>
          </w:p>
        </w:tc>
      </w:tr>
      <w:tr>
        <w:trPr>
          <w:cantSplit/>
        </w:trPr>
        <w:tc>
          <w:tcPr>
            <w:tcW w:w="1700" w:type="dxa"/>
            <w:vAlign w:val="center"/>
          </w:tcPr>
          <w:p>
            <w:pPr>
              <w:pStyle w:val="tablecopy"/>
              <w:spacing w:before="1pt" w:after="1pt"/>
              <w:jc w:val="start"/>
            </w:pPr>
            <w:r>
              <w:t xml:space="preserve">LUT (total / CFU)</w:t>
            </w:r>
          </w:p>
        </w:tc>
        <w:tc>
          <w:tcPr>
            <w:tcW w:w="1100" w:type="dxa"/>
            <w:vAlign w:val="center"/>
          </w:tcPr>
          <w:p>
            <w:pPr>
              <w:pStyle w:val="tablecopy"/>
              <w:spacing w:before="1pt" w:after="1pt"/>
              <w:jc w:val="center"/>
            </w:pPr>
            <w:r>
              <w:t xml:space="preserve">6,187 / 1,511</w:t>
            </w:r>
          </w:p>
        </w:tc>
        <w:tc>
          <w:tcPr>
            <w:tcW w:w="1100" w:type="dxa"/>
            <w:vAlign w:val="center"/>
          </w:tcPr>
          <w:p>
            <w:pPr>
              <w:pStyle w:val="tablecopy"/>
              <w:spacing w:before="1pt" w:after="1pt"/>
              <w:jc w:val="center"/>
            </w:pPr>
            <w:r>
              <w:t xml:space="preserve">6,865 / 1,678</w:t>
            </w:r>
          </w:p>
        </w:tc>
        <w:tc>
          <w:tcPr>
            <w:tcW w:w="1100" w:type="dxa"/>
            <w:vAlign w:val="center"/>
          </w:tcPr>
          <w:p>
            <w:pPr>
              <w:pStyle w:val="tablecopy"/>
              <w:spacing w:before="1pt" w:after="1pt"/>
              <w:jc w:val="center"/>
            </w:pPr>
            <w:r>
              <w:t xml:space="preserve">8,017 / 2,693</w:t>
            </w:r>
          </w:p>
        </w:tc>
      </w:tr>
      <w:tr>
        <w:trPr>
          <w:cantSplit/>
        </w:trPr>
        <w:tc>
          <w:tcPr>
            <w:tcW w:w="1700" w:type="dxa"/>
            <w:vAlign w:val="center"/>
          </w:tcPr>
          <w:p>
            <w:pPr>
              <w:pStyle w:val="tablecopy"/>
              <w:spacing w:before="1pt" w:after="1pt"/>
              <w:jc w:val="start"/>
            </w:pPr>
            <w:r>
              <w:t xml:space="preserve">FF (total / CFU)</w:t>
            </w:r>
          </w:p>
        </w:tc>
        <w:tc>
          <w:tcPr>
            <w:tcW w:w="1100" w:type="dxa"/>
            <w:vAlign w:val="center"/>
          </w:tcPr>
          <w:p>
            <w:pPr>
              <w:pStyle w:val="tablecopy"/>
              <w:spacing w:before="1pt" w:after="1pt"/>
              <w:jc w:val="center"/>
            </w:pPr>
            <w:r>
              <w:t xml:space="preserve">4,504 / 1,081</w:t>
            </w:r>
          </w:p>
        </w:tc>
        <w:tc>
          <w:tcPr>
            <w:tcW w:w="1100" w:type="dxa"/>
            <w:vAlign w:val="center"/>
          </w:tcPr>
          <w:p>
            <w:pPr>
              <w:pStyle w:val="tablecopy"/>
              <w:spacing w:before="1pt" w:after="1pt"/>
              <w:jc w:val="center"/>
            </w:pPr>
            <w:r>
              <w:t xml:space="preserve">4,898 / 1,475</w:t>
            </w:r>
          </w:p>
        </w:tc>
        <w:tc>
          <w:tcPr>
            <w:tcW w:w="1100" w:type="dxa"/>
            <w:vAlign w:val="center"/>
          </w:tcPr>
          <w:p>
            <w:pPr>
              <w:pStyle w:val="tablecopy"/>
              <w:spacing w:before="1pt" w:after="1pt"/>
              <w:jc w:val="center"/>
            </w:pPr>
            <w:r>
              <w:t xml:space="preserve">5,080 / 1,657</w:t>
            </w:r>
          </w:p>
        </w:tc>
      </w:tr>
      <w:tr>
        <w:trPr>
          <w:cantSplit/>
        </w:trPr>
        <w:tc>
          <w:tcPr>
            <w:tcW w:w="1700" w:type="dxa"/>
            <w:vAlign w:val="center"/>
          </w:tcPr>
          <w:p>
            <w:pPr>
              <w:pStyle w:val="tablecopy"/>
              <w:spacing w:before="1pt" w:after="1pt"/>
              <w:jc w:val="start"/>
            </w:pPr>
            <w:r>
              <w:t xml:space="preserve">RAMB36 / RAMB18</w:t>
            </w:r>
          </w:p>
        </w:tc>
        <w:tc>
          <w:tcPr>
            <w:tcW w:w="1100" w:type="dxa"/>
            <w:vAlign w:val="center"/>
          </w:tcPr>
          <w:p>
            <w:pPr>
              <w:pStyle w:val="tablecopy"/>
              <w:spacing w:before="1pt" w:after="1pt"/>
              <w:jc w:val="center"/>
            </w:pPr>
            <w:r>
              <w:t xml:space="preserve">15 / 33</w:t>
            </w:r>
          </w:p>
        </w:tc>
        <w:tc>
          <w:tcPr>
            <w:tcW w:w="1100" w:type="dxa"/>
            <w:vAlign w:val="center"/>
          </w:tcPr>
          <w:p>
            <w:pPr>
              <w:pStyle w:val="tablecopy"/>
              <w:spacing w:before="1pt" w:after="1pt"/>
              <w:jc w:val="center"/>
            </w:pPr>
            <w:r>
              <w:t xml:space="preserve">15 / 33</w:t>
            </w:r>
          </w:p>
        </w:tc>
        <w:tc>
          <w:tcPr>
            <w:tcW w:w="1100" w:type="dxa"/>
            <w:vAlign w:val="center"/>
          </w:tcPr>
          <w:p>
            <w:pPr>
              <w:pStyle w:val="tablecopy"/>
              <w:spacing w:before="1pt" w:after="1pt"/>
              <w:jc w:val="center"/>
            </w:pPr>
            <w:r>
              <w:t xml:space="preserve">15 / 33</w:t>
            </w:r>
          </w:p>
        </w:tc>
      </w:tr>
      <w:tr>
        <w:trPr>
          <w:cantSplit/>
        </w:trPr>
        <w:tc>
          <w:tcPr>
            <w:tcW w:w="1700" w:type="dxa"/>
            <w:vAlign w:val="center"/>
          </w:tcPr>
          <w:p>
            <w:pPr>
              <w:pStyle w:val="tablecopy"/>
              <w:spacing w:before="1pt" w:after="1pt"/>
              <w:jc w:val="start"/>
            </w:pPr>
            <w:r>
              <w:t xml:space="preserve">DSP</w:t>
            </w:r>
          </w:p>
        </w:tc>
        <w:tc>
          <w:tcPr>
            <w:tcW w:w="1100" w:type="dxa"/>
            <w:vAlign w:val="center"/>
          </w:tcPr>
          <w:p>
            <w:pPr>
              <w:pStyle w:val="tablecopy"/>
              <w:spacing w:before="1pt" w:after="1pt"/>
              <w:jc w:val="center"/>
            </w:pPr>
            <w:r>
              <w:t xml:space="preserve">8</w:t>
            </w:r>
          </w:p>
        </w:tc>
        <w:tc>
          <w:tcPr>
            <w:tcW w:w="1100" w:type="dxa"/>
            <w:vAlign w:val="center"/>
          </w:tcPr>
          <w:p>
            <w:pPr>
              <w:pStyle w:val="tablecopy"/>
              <w:spacing w:before="1pt" w:after="1pt"/>
              <w:jc w:val="center"/>
            </w:pPr>
            <w:r>
              <w:t xml:space="preserve">8</w:t>
            </w:r>
          </w:p>
        </w:tc>
        <w:tc>
          <w:tcPr>
            <w:tcW w:w="1100" w:type="dxa"/>
            <w:vAlign w:val="center"/>
          </w:tcPr>
          <w:p>
            <w:pPr>
              <w:pStyle w:val="tablecopy"/>
              <w:spacing w:before="1pt" w:after="1pt"/>
              <w:jc w:val="center"/>
            </w:pPr>
            <w:r>
              <w:t xml:space="preserve">8</w:t>
            </w:r>
          </w:p>
        </w:tc>
      </w:tr>
      <w:tr>
        <w:trPr>
          <w:cantSplit/>
        </w:trPr>
        <w:tc>
          <w:tcPr>
            <w:tcW w:w="1700" w:type="dxa"/>
            <w:vAlign w:val="center"/>
          </w:tcPr>
          <w:p>
            <w:pPr>
              <w:pStyle w:val="tablecopy"/>
              <w:spacing w:before="1pt" w:after="1pt"/>
              <w:jc w:val="start"/>
            </w:pPr>
            <w:r>
              <w:t xml:space="preserve">WNS (ns)</w:t>
            </w:r>
          </w:p>
        </w:tc>
        <w:tc>
          <w:tcPr>
            <w:tcW w:w="1100" w:type="dxa"/>
            <w:vAlign w:val="center"/>
          </w:tcPr>
          <w:p>
            <w:pPr>
              <w:pStyle w:val="tablecopy"/>
              <w:spacing w:before="1pt" w:after="1pt"/>
              <w:jc w:val="center"/>
            </w:pPr>
            <w:r>
              <w:t xml:space="preserve">+0.962</w:t>
            </w:r>
          </w:p>
        </w:tc>
        <w:tc>
          <w:tcPr>
            <w:tcW w:w="1100" w:type="dxa"/>
            <w:vAlign w:val="center"/>
          </w:tcPr>
          <w:p>
            <w:pPr>
              <w:pStyle w:val="tablecopy"/>
              <w:spacing w:before="1pt" w:after="1pt"/>
              <w:jc w:val="center"/>
            </w:pPr>
            <w:r>
              <w:t xml:space="preserve">+0.372</w:t>
            </w:r>
          </w:p>
        </w:tc>
        <w:tc>
          <w:tcPr>
            <w:tcW w:w="1100" w:type="dxa"/>
            <w:vAlign w:val="center"/>
          </w:tcPr>
          <w:p>
            <w:pPr>
              <w:pStyle w:val="tablecopy"/>
              <w:spacing w:before="1pt" w:after="1pt"/>
              <w:jc w:val="center"/>
            </w:pPr>
            <w:r>
              <w:t xml:space="preserve">+0.322</w:t>
            </w:r>
          </w:p>
        </w:tc>
      </w:tr>
      <w:tr>
        <w:trPr>
          <w:cantSplit/>
        </w:trPr>
        <w:tc>
          <w:tcPr>
            <w:tcW w:w="1700" w:type="dxa"/>
            <w:vAlign w:val="center"/>
          </w:tcPr>
          <w:p>
            <w:pPr>
              <w:pStyle w:val="tablecopy"/>
              <w:spacing w:before="1pt" w:after="1pt"/>
              <w:jc w:val="start"/>
            </w:pPr>
            <w:r>
              <w:t xml:space="preserve">Failing endpoints</w:t>
            </w:r>
          </w:p>
        </w:tc>
        <w:tc>
          <w:tcPr>
            <w:tcW w:w="1100" w:type="dxa"/>
            <w:vAlign w:val="center"/>
          </w:tcPr>
          <w:p>
            <w:pPr>
              <w:pStyle w:val="tablecopy"/>
              <w:spacing w:before="1pt" w:after="1pt"/>
              <w:jc w:val="center"/>
            </w:pPr>
            <w:r>
              <w:t xml:space="preserve">0</w:t>
            </w:r>
          </w:p>
        </w:tc>
        <w:tc>
          <w:tcPr>
            <w:tcW w:w="1100" w:type="dxa"/>
            <w:vAlign w:val="center"/>
          </w:tcPr>
          <w:p>
            <w:pPr>
              <w:pStyle w:val="tablecopy"/>
              <w:spacing w:before="1pt" w:after="1pt"/>
              <w:jc w:val="center"/>
            </w:pPr>
            <w:r>
              <w:t xml:space="preserve">0</w:t>
            </w:r>
          </w:p>
        </w:tc>
        <w:tc>
          <w:tcPr>
            <w:tcW w:w="1100" w:type="dxa"/>
            <w:vAlign w:val="center"/>
          </w:tcPr>
          <w:p>
            <w:pPr>
              <w:pStyle w:val="tablecopy"/>
              <w:spacing w:before="1pt" w:after="1pt"/>
              <w:jc w:val="center"/>
            </w:pPr>
            <w:r>
              <w:t xml:space="preserve">0</w:t>
            </w:r>
          </w:p>
        </w:tc>
      </w:tr>
    </w:tbl>
    <w:p>
      <w:pPr>
        <w:spacing w:after="0pt" w:line="4pt" w:lineRule="exact"/>
      </w:pPr>
    </w:p>
    <w:p>
      <w:pPr>
        <w:pStyle w:val="BodyText"/>
      </w:pPr>
      <w:r>
        <w:t xml:space="preserve">The 3×3 CFU adds a modest LUT/FF cost to the CFU. Sliding-window reuse costs more logic than the 3×3 unit itself. No additional BRAM or DSP is needed in any configuration. All three designs meet the 75 MHz target with positive slack. We did not measure Fmax.</w:t>
      </w:r>
    </w:p>
    <w:p>
      <w:pPr>
        <w:pStyle w:val="Heading2"/>
      </w:pPr>
      <w:r>
        <w:t xml:space="preserve">Functional Correctness</w:t>
      </w:r>
    </w:p>
    <w:p>
      <w:pPr>
        <w:pStyle w:val="BodyText"/>
      </w:pPr>
      <w:r>
        <w:t xml:space="preserve">All 25 gateware unit tests pass (simulation). C1–C3 process the same input and return the same top-1 class (index 64) and score, with matching output statistics. A full output checksum is printed only in the C3 log, so bit-exact equality across configurations is not demonstrated. The software-equivalence test results are [PENDING]. We make no accuracy claim, since only one image was used.</w:t>
      </w:r>
    </w:p>
    <w:p>
      <w:pPr>
        <w:pStyle w:val="Heading2"/>
      </w:pPr>
      <w:r>
        <w:t xml:space="preserve">Overall Discussion</w:t>
      </w:r>
    </w:p>
    <w:p>
      <w:pPr>
        <w:pStyle w:val="BodyText"/>
      </w:pPr>
      <w:r>
        <w:t xml:space="preserve">Adding the 3×3 depthwise CFU gives the main performance improvement at a small hardware cost. Sliding-window reuse gives an additional improvement by reducing repeated input transfer, but needs more logic for a smaller cycle gain. The complete design keeps BRAM and DSP usage unchanged and meets timing at 75 MHz. The remaining runtime is dominated by software work around the CFU and by operators that stay on the CPU.</w:t>
      </w:r>
    </w:p>
    <w:p>
      <w:pPr>
        <w:pStyle w:val="Heading1"/>
      </w:pPr>
      <w:r>
        <w:t xml:space="preserve">Limitations and Future Work</w:t>
      </w:r>
    </w:p>
    <w:p>
      <w:pPr>
        <w:pStyle w:val="BodyText"/>
      </w:pPr>
      <w:r>
        <w:t xml:space="preserve">[SECTION VI PLACEHOLDER — not yet drafted.]</w:t>
      </w:r>
    </w:p>
    <w:p>
      <w:pPr>
        <w:pStyle w:val="Heading1"/>
      </w:pPr>
      <w:r>
        <w:t xml:space="preserve">Conclusion</w:t>
      </w:r>
    </w:p>
    <w:p>
      <w:pPr>
        <w:pStyle w:val="BodyText"/>
      </w:pPr>
      <w:r>
        <w:t xml:space="preserve">[SECTION VII PLACEHOLDER — not yet drafted.]</w:t>
      </w:r>
    </w:p>
    <w:p>
      <w:pPr>
        <w:pStyle w:val="Heading5"/>
      </w:pPr>
      <w:r>
        <w:t xml:space="preserve">References</w:t>
      </w:r>
    </w:p>
    <w:p>
      <w:pPr>
        <w:pStyle w:val="references"/>
        <w:ind w:start="17.70pt" w:hanging="17.70pt"/>
      </w:pPr>
      <w:r>
        <w:t xml:space="preserve">C. Banbury </w:t>
      </w:r>
      <w:r>
        <w:rPr>
          <w:i/>
          <w:iCs/>
        </w:rPr>
        <w:t xml:space="preserve">et al.</w:t>
      </w:r>
      <w:r>
        <w:t xml:space="preserve">, “MLPerf Tiny benchmark,” 2021, arXiv:2106.07597.</w:t>
      </w:r>
    </w:p>
    <w:p>
      <w:pPr>
        <w:pStyle w:val="references"/>
        <w:ind w:start="17.70pt" w:hanging="17.70pt"/>
      </w:pPr>
      <w:r>
        <w:t xml:space="preserve">M. Sandler, A. Howard, M. Zhu, A. Zhmoginov, and L.-C. Chen, “MobileNetV2: Inverted residuals and linear bottlenecks,” in </w:t>
      </w:r>
      <w:r>
        <w:rPr>
          <w:i/>
          <w:iCs/>
        </w:rPr>
        <w:t xml:space="preserve">Proc. IEEE/CVF Conf. Comput. Vis. Pattern Recognit. (CVPR)</w:t>
      </w:r>
      <w:r>
        <w:t xml:space="preserve">, 2018. [VERIFY: PDF not in literature/]</w:t>
      </w:r>
    </w:p>
    <w:p>
      <w:pPr>
        <w:pStyle w:val="references"/>
        <w:ind w:start="17.70pt" w:hanging="17.70pt"/>
      </w:pPr>
      <w:r>
        <w:t xml:space="preserve">R. David </w:t>
      </w:r>
      <w:r>
        <w:rPr>
          <w:i/>
          <w:iCs/>
        </w:rPr>
        <w:t xml:space="preserve">et al.</w:t>
      </w:r>
      <w:r>
        <w:t xml:space="preserve">, “TensorFlow Lite Micro: Embedded machine learning for TinyML systems,” </w:t>
      </w:r>
      <w:r>
        <w:rPr>
          <w:i/>
          <w:iCs/>
        </w:rPr>
        <w:t xml:space="preserve">Proc. Mach. Learn. Syst.</w:t>
      </w:r>
      <w:r>
        <w:t xml:space="preserve">, vol. 3, pp. 800–811, 2021. [VERIFY: PDF not in literature/]</w:t>
      </w:r>
    </w:p>
    <w:p>
      <w:pPr>
        <w:pStyle w:val="references"/>
        <w:ind w:start="17.70pt" w:hanging="17.70pt"/>
      </w:pPr>
      <w:r>
        <w:t xml:space="preserve">S. Prakash </w:t>
      </w:r>
      <w:r>
        <w:rPr>
          <w:i/>
          <w:iCs/>
        </w:rPr>
        <w:t xml:space="preserve">et al.</w:t>
      </w:r>
      <w:r>
        <w:t xml:space="preserve">, “CFU Playground: Full-stack open-source framework for tiny machine learning (TinyML) acceleration on FPGAs,” 2023, arXiv:2201.01863v3. [CHECK: published version]</w:t>
      </w:r>
    </w:p>
    <w:p>
      <w:pPr>
        <w:pStyle w:val="references"/>
        <w:ind w:start="17.70pt" w:hanging="17.70pt"/>
      </w:pPr>
      <w:r>
        <w:t xml:space="preserve">S. Prakash </w:t>
      </w:r>
      <w:r>
        <w:rPr>
          <w:i/>
          <w:iCs/>
        </w:rPr>
        <w:t xml:space="preserve">et al.</w:t>
      </w:r>
      <w:r>
        <w:t xml:space="preserve">, “CFU Playground: Want a faster ML processor? Do it yourself!,” in </w:t>
      </w:r>
      <w:r>
        <w:rPr>
          <w:i/>
          <w:iCs/>
        </w:rPr>
        <w:t xml:space="preserve">Proc. Design, Automation &amp; Test in Europe Conf. (DATE)</w:t>
      </w:r>
      <w:r>
        <w:t xml:space="preserve">, 2023.</w:t>
      </w:r>
    </w:p>
    <w:p>
      <w:pPr>
        <w:pStyle w:val="references"/>
        <w:ind w:start="17.70pt" w:hanging="17.70pt"/>
      </w:pPr>
      <w:r>
        <w:t xml:space="preserve">M. Yildirim and O. Ozturk, “RISC-V based TinyML accelerator for depthwise separable convolutions in edge AI,” 2025, arXiv:2511.21232.</w:t>
      </w:r>
    </w:p>
    <w:p>
      <w:pPr>
        <w:pStyle w:val="references"/>
        <w:ind w:start="17.70pt" w:hanging="17.70pt"/>
      </w:pPr>
      <w:r>
        <w:t xml:space="preserve">X. Li, H. Huang, Y. Liu, X. Hu, and X. Xiong, “A digital signal processor-efficient accelerator for depthwise separable convolution,” </w:t>
      </w:r>
      <w:r>
        <w:rPr>
          <w:i/>
          <w:iCs/>
        </w:rPr>
        <w:t xml:space="preserve">Electron. Lett.</w:t>
      </w:r>
      <w:r>
        <w:t xml:space="preserve">, vol. 58, no. 7, pp. 271–273, Mar. 2022, doi: 10.1049/ell2.12435.</w:t>
      </w:r>
    </w:p>
    <w:p>
      <w:pPr>
        <w:pStyle w:val="references"/>
        <w:ind w:start="17.70pt" w:hanging="17.70pt"/>
      </w:pPr>
      <w:r>
        <w:t xml:space="preserve">M. Véstias, R. Duarte, J. T. de Sousa, and H. Neto, “Parallel dot-products for deep learning on FPGA.” [VERIFY: venue and year not in PDF]</w:t>
      </w:r>
    </w:p>
    <w:p>
      <w:pPr>
        <w:pStyle w:val="references"/>
        <w:ind w:start="17.70pt" w:hanging="17.70pt"/>
      </w:pPr>
      <w:r>
        <w:t xml:space="preserve">M. Sabih, A. Karim, J. Wittmann, F. Hannig, and J. Teich, “Hardware/software co-design of RISC-V extensions for accelerating sparse DNNs on FPGAs,” in </w:t>
      </w:r>
      <w:r>
        <w:rPr>
          <w:i/>
          <w:iCs/>
        </w:rPr>
        <w:t xml:space="preserve">Proc. Int. Conf. Field-Programmable Technol. (FPT)</w:t>
      </w:r>
      <w:r>
        <w:t xml:space="preserve">, 2024.</w:t>
      </w:r>
    </w:p>
    <w:p>
      <w:pPr>
        <w:pStyle w:val="references"/>
        <w:ind w:start="17.70pt" w:hanging="17.70pt"/>
      </w:pPr>
      <w:r>
        <w:t xml:space="preserve">M. S. Vahdatpour and Y. Zhang, “Energy-efficient software–hardware co-design for machine learning: From TinyML to large language models,” 2026, arXiv:2603.23668.</w:t>
      </w:r>
    </w:p>
    <w:sectPr>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