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1.Una responsabilidad no implica solamente a un objeto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2.GRASP son las siglas en inglés de General Responsibility Assignment Software Patterns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3.GRASP no son las siglas en inglés de Patrones Software para la Aplicación de Reglas Genéricas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4.GRASP son las siglas en inglés de Patrones Software para la Asignación General de Responsabilidades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5.Una contraindicación del patrón Experto es que a veces su utilización puede producir una pérdida de cohesión, duplicación y acoplamiento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6.El patrón Alta Cohesión no implica casi siempre alto acoplamiento, incrementa reutilización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7.El patrón Adaptador no se utiliza para diseñar algoritmos y políticas relacionadas que pueden cambiar (ESTO LO HACE EL PATRÓN ESTRATEGIA)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8.Un Adaptador es también un ejemplo de Variaciones Protegidas ya que mediante la Indirección y el Polimorfismo se consigue protección frente a cambios externos al sistema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9.El patrón Factoría se utiliza para crear objetos cuando existe o una lógica compleja o deseo de separar responsabilidades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10.El patrón Estrategia se utiliza para diseñar algoritmos y políticas relacionadas que pueden cambiar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