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TEMA5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1.Los diagramas de clases llamados del diseño se desarrollan</w:t>
      </w:r>
    </w:p>
    <w:tbl>
      <w:tblPr>
        <w:tblStyle w:val="Table1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después del desarrollo de los diagramas de interacción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después, o al mismo tiempo, del desarrollo de los diagramas de interacción</w:t>
            </w:r>
          </w:p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VERDADERA: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antes del desarrollo de los diagramas de interacción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2.¿Cuáles de estos diagramas son diagramas de interacción?</w:t>
      </w:r>
    </w:p>
    <w:tbl>
      <w:tblPr>
        <w:tblStyle w:val="Table2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diagramas de actividades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diagramas de secuencia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diagramas de colaboración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diagramas de casos de uso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3.En un diagrama de clases</w:t>
      </w:r>
    </w:p>
    <w:tbl>
      <w:tblPr>
        <w:tblStyle w:val="Table3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objetos se representan con un rectángulo etiquetado con el nombre del objeto y en el de la clase separados por dos puntos y subrayados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objetos se representan con un rectángulo etiquetado con el nombre del objeto subrayado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Los objetos no aparecen en el diagrama de clases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Los clases se representan con un rectángulo etiquetado con el nombre de la clase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clases se representan con un rectángulo etiquetado con el nombre de la clase subrayado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4.Semánticamente se puede decir que son equivalentes</w:t>
      </w:r>
    </w:p>
    <w:tbl>
      <w:tblPr>
        <w:tblStyle w:val="Table4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8190"/>
        <w:tblGridChange w:id="0">
          <w:tblGrid>
            <w:gridCol w:w="510"/>
            <w:gridCol w:w="81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diagramas de secuencia y los de clase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Los diagramas de secuencia y los de colaboración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diagramas de colaboración y los de clase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highlight w:val="white"/>
          <w:rtl w:val="0"/>
        </w:rPr>
        <w:t xml:space="preserve">Los diagramas de secuencia</w:t>
      </w:r>
    </w:p>
    <w:tbl>
      <w:tblPr>
        <w:tblStyle w:val="Table5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Enfatizan la organización estructural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Son mejores para mostrar las interacciones desde el punto de vista temporal</w:t>
            </w:r>
          </w:p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VERDADERA: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Economizan mejor el espacio al poder añadir objetos en dos dimensiones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Tienen un formato con aspecto de valla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6.Los diagramas de interacción en el Proceso Unificado</w:t>
      </w:r>
    </w:p>
    <w:tbl>
      <w:tblPr>
        <w:tblStyle w:val="Table6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Normalmente aparecen en la fase de Inicio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Se realizan en la fase de Elaboración para los escenarios más prioritarios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aparecen para nada en la etapa de Construcción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highlight w:val="white"/>
          <w:rtl w:val="0"/>
        </w:rPr>
        <w:t xml:space="preserve">Las clases software</w:t>
      </w:r>
    </w:p>
    <w:tbl>
      <w:tblPr>
        <w:tblStyle w:val="Table7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incorporan métodos, ya que son responsabilidades del diseño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pueden tener visibilidad de otra clase si dicha clase es un atributo de ellas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tienen un constructor, un método create(), que habitualmente no se muestra en el diagrama de clases del diseño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tienen métodos de acceso a sus atributos que obligatoriamente hay que mostrar siempre en el diagrama de clases del diseño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8.La flecha de navegabilidad</w:t>
      </w:r>
    </w:p>
    <w:tbl>
      <w:tblPr>
        <w:tblStyle w:val="Table8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indica visibilidad, o sea que indica en una asociación cual es la clase que puede enviar mensajes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indica en una asociación entre clases la dirección de lectura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no indica si una clase hereda de otra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9.Los diagramas de clases llamados del diseño se desarrollan</w:t>
      </w:r>
    </w:p>
    <w:tbl>
      <w:tblPr>
        <w:tblStyle w:val="Table9"/>
        <w:tblW w:w="87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250"/>
        <w:tblGridChange w:id="0">
          <w:tblGrid>
            <w:gridCol w:w="450"/>
            <w:gridCol w:w="82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highlight w:val="white"/>
                <w:u w:val="singl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no en el Inicio, donde serían prematuros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tampoco en la Elaboración, dado que no están tomadas las decisiones del diseño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sí en la fase de Transición, para mostrar a los usuarios la estructura del sistema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