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522" w:rsidRPr="00F34522" w:rsidRDefault="00F34522" w:rsidP="00F34522">
      <w:pPr>
        <w:jc w:val="center"/>
        <w:rPr>
          <w:rFonts w:cs="Arial"/>
          <w:b/>
          <w:szCs w:val="24"/>
        </w:rPr>
      </w:pPr>
      <w:r w:rsidRPr="00F34522">
        <w:rPr>
          <w:rFonts w:cs="Arial"/>
          <w:b/>
          <w:szCs w:val="24"/>
        </w:rPr>
        <w:t>Introdução</w:t>
      </w:r>
    </w:p>
    <w:p w:rsidR="002118E5" w:rsidRDefault="002118E5" w:rsidP="002118E5">
      <w:pPr>
        <w:rPr>
          <w:rFonts w:ascii="Times New Roman" w:hAnsi="Times New Roman"/>
        </w:rPr>
      </w:pPr>
      <w:r>
        <w:t>Em uma sociedade globalizada, a tecnologia da informação tem contribuído cada vez mais para a melhoria da interpretação dos dados que nos cerceiam. Muitas vezes, somos incapazes de julgar o que estamos vendo devido a diversas interferências relacionadas ao meio ambiente e limitações inerentes de cada indivíduo.</w:t>
      </w:r>
    </w:p>
    <w:p w:rsidR="002118E5" w:rsidRDefault="002118E5" w:rsidP="002118E5">
      <w:r>
        <w:t>Em virtude do avanço computacional recente, é possível extrair informações e valores que caracterizam o mundo através do processamento de imagens. Com isso é possível enaltecer atributos específicos de uma imagem visando a uma interpretação perfeita do conteúdo.</w:t>
      </w:r>
    </w:p>
    <w:p w:rsidR="002118E5" w:rsidRDefault="002118E5" w:rsidP="002118E5">
      <w:r>
        <w:t>O processamento de imagem é, certamente, uma área em constante crescimento. Por conseguinte, o reconhecimento automático de propriedades em imagens é de suma importância para o desenvolvimento de áreas e disciplinas como, medicina, engenharia e química, dentre outras.</w:t>
      </w:r>
    </w:p>
    <w:p w:rsidR="002118E5" w:rsidRDefault="002118E5" w:rsidP="002118E5">
      <w:r>
        <w:t>Neste contexto, este trabalho visa à automação de um método de análise química quantitativa em microfluídica mediante o desenvolvimento de aplicativo para smartphone. Tal dispositivo responde pelo controle da plataforma analítica e pela análise das imagens capturadas das amostras.</w:t>
      </w:r>
    </w:p>
    <w:p w:rsidR="002118E5" w:rsidRDefault="002118E5" w:rsidP="002118E5">
      <w:r>
        <w:t>O método de análise quantitativa supracitado baseia-se no fenômeno da microemulsificação. Designado como MEC (</w:t>
      </w:r>
      <w:proofErr w:type="spellStart"/>
      <w:r>
        <w:t>microemulsification-based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), ele foi desenvolvido no Laboratório de </w:t>
      </w:r>
      <w:proofErr w:type="spellStart"/>
      <w:r>
        <w:t>Microfabricação</w:t>
      </w:r>
      <w:proofErr w:type="spellEnd"/>
      <w:r>
        <w:t xml:space="preserve"> (LMF/</w:t>
      </w:r>
      <w:proofErr w:type="spellStart"/>
      <w:r>
        <w:t>LNNano</w:t>
      </w:r>
      <w:proofErr w:type="spellEnd"/>
      <w:r>
        <w:t>/CNPEM) em 2014.</w:t>
      </w:r>
    </w:p>
    <w:p w:rsidR="002118E5" w:rsidRDefault="002118E5" w:rsidP="002118E5">
      <w:r>
        <w:t>Destaca-se a importância da automação do método MEC, caracterizado como o fenômeno de estabilização termodinâmica de dispersões, pois sistemas point-</w:t>
      </w:r>
      <w:proofErr w:type="spellStart"/>
      <w:r>
        <w:t>of</w:t>
      </w:r>
      <w:proofErr w:type="spellEnd"/>
      <w:r>
        <w:t>-use têm se tornado uma área importante no campo das ciências analíticas quantitativas.</w:t>
      </w:r>
    </w:p>
    <w:p w:rsidR="00F34522" w:rsidRDefault="002118E5" w:rsidP="002118E5">
      <w:pPr>
        <w:rPr>
          <w:rFonts w:cs="Arial"/>
          <w:szCs w:val="24"/>
        </w:rPr>
      </w:pPr>
      <w:r>
        <w:t>Desta formar, é esperado que a automação do método seja uma alternativa promissora para o desenvolvimento de tecnologias point-</w:t>
      </w:r>
      <w:proofErr w:type="spellStart"/>
      <w:r>
        <w:t>of</w:t>
      </w:r>
      <w:proofErr w:type="spellEnd"/>
      <w:r>
        <w:t>-use, respondendo como uma plataforma eficiente, com altos níveis de reprodutibilidade, exatidão e sensibilidade, contribuindo para um melhor desempenho analítico.</w:t>
      </w:r>
      <w:r>
        <w:rPr>
          <w:rFonts w:cs="Arial"/>
          <w:szCs w:val="24"/>
        </w:rPr>
        <w:t xml:space="preserve"> </w:t>
      </w:r>
      <w:r w:rsidR="00F34522">
        <w:rPr>
          <w:rFonts w:cs="Arial"/>
          <w:szCs w:val="24"/>
        </w:rPr>
        <w:br w:type="page"/>
      </w:r>
    </w:p>
    <w:p w:rsidR="00F34522" w:rsidRPr="00C675A1" w:rsidRDefault="00F34522" w:rsidP="00F34522">
      <w:pPr>
        <w:jc w:val="center"/>
        <w:rPr>
          <w:rFonts w:cs="Arial"/>
          <w:b/>
          <w:sz w:val="28"/>
          <w:szCs w:val="28"/>
        </w:rPr>
      </w:pPr>
      <w:proofErr w:type="spellStart"/>
      <w:r w:rsidRPr="00C675A1">
        <w:rPr>
          <w:rFonts w:cs="Arial"/>
          <w:b/>
          <w:sz w:val="28"/>
          <w:szCs w:val="28"/>
        </w:rPr>
        <w:lastRenderedPageBreak/>
        <w:t>Microemulsification-based</w:t>
      </w:r>
      <w:proofErr w:type="spellEnd"/>
      <w:r w:rsidRPr="00C675A1">
        <w:rPr>
          <w:rFonts w:cs="Arial"/>
          <w:b/>
          <w:sz w:val="28"/>
          <w:szCs w:val="28"/>
        </w:rPr>
        <w:t xml:space="preserve"> </w:t>
      </w:r>
      <w:proofErr w:type="spellStart"/>
      <w:r w:rsidRPr="00C675A1">
        <w:rPr>
          <w:rFonts w:cs="Arial"/>
          <w:b/>
          <w:sz w:val="28"/>
          <w:szCs w:val="28"/>
        </w:rPr>
        <w:t>Method</w:t>
      </w:r>
      <w:proofErr w:type="spellEnd"/>
    </w:p>
    <w:p w:rsidR="00FE3580" w:rsidRDefault="00C675A1" w:rsidP="00FE3580">
      <w:proofErr w:type="spellStart"/>
      <w:r w:rsidRPr="00FE3580">
        <w:rPr>
          <w:i/>
        </w:rPr>
        <w:t>Microemulsification-based</w:t>
      </w:r>
      <w:proofErr w:type="spellEnd"/>
      <w:r w:rsidRPr="00FE3580">
        <w:rPr>
          <w:i/>
        </w:rPr>
        <w:t xml:space="preserve"> </w:t>
      </w:r>
      <w:proofErr w:type="spellStart"/>
      <w:r w:rsidRPr="00FE3580">
        <w:rPr>
          <w:i/>
        </w:rPr>
        <w:t>method</w:t>
      </w:r>
      <w:proofErr w:type="spellEnd"/>
      <w:r w:rsidR="0021293F" w:rsidRPr="00FE3580">
        <w:t xml:space="preserve">, MEC, idealizado no ano de 2014 no Laboratório de </w:t>
      </w:r>
      <w:proofErr w:type="spellStart"/>
      <w:r w:rsidR="0021293F" w:rsidRPr="00FE3580">
        <w:t>Microfabricação</w:t>
      </w:r>
      <w:proofErr w:type="spellEnd"/>
      <w:r w:rsidR="0021293F" w:rsidRPr="00FE3580">
        <w:t xml:space="preserve"> – LMF, tem como objetivo contribuir </w:t>
      </w:r>
      <w:r w:rsidR="00FE3580" w:rsidRPr="00FE3580">
        <w:t xml:space="preserve">para o desenvolvimento de tecnologias </w:t>
      </w:r>
      <w:r w:rsidR="00FE3580" w:rsidRPr="00FE3580">
        <w:rPr>
          <w:i/>
        </w:rPr>
        <w:t>point-</w:t>
      </w:r>
      <w:proofErr w:type="spellStart"/>
      <w:r w:rsidR="00FE3580" w:rsidRPr="00FE3580">
        <w:rPr>
          <w:i/>
        </w:rPr>
        <w:t>of</w:t>
      </w:r>
      <w:proofErr w:type="spellEnd"/>
      <w:r w:rsidR="00FE3580" w:rsidRPr="00FE3580">
        <w:rPr>
          <w:i/>
        </w:rPr>
        <w:t>-</w:t>
      </w:r>
      <w:proofErr w:type="spellStart"/>
      <w:r w:rsidR="00FE3580" w:rsidRPr="00FE3580">
        <w:rPr>
          <w:i/>
        </w:rPr>
        <w:t>care</w:t>
      </w:r>
      <w:proofErr w:type="spellEnd"/>
      <w:r w:rsidR="00FE3580" w:rsidRPr="00FE3580">
        <w:t xml:space="preserve"> – </w:t>
      </w:r>
      <w:proofErr w:type="spellStart"/>
      <w:r w:rsidR="00FE3580" w:rsidRPr="00FE3580">
        <w:t>PoC</w:t>
      </w:r>
      <w:proofErr w:type="spellEnd"/>
      <w:r w:rsidR="00FE3580">
        <w:t xml:space="preserve">. </w:t>
      </w:r>
    </w:p>
    <w:p w:rsidR="00C675A1" w:rsidRDefault="00E03E79" w:rsidP="00E03E79">
      <w:r>
        <w:t xml:space="preserve">As tecnologias </w:t>
      </w:r>
      <w:proofErr w:type="spellStart"/>
      <w:r>
        <w:t>PoC</w:t>
      </w:r>
      <w:proofErr w:type="spellEnd"/>
      <w:r>
        <w:t xml:space="preserve">, são de suma importância para o campo das ciências analíticas quantitativas, elas possibilitam testes rápidos, baratos e portáteis. Além disso, </w:t>
      </w:r>
      <w:r w:rsidR="005F7B9B">
        <w:t>ela</w:t>
      </w:r>
      <w:r w:rsidR="00A33B53">
        <w:t xml:space="preserve"> permitir determinações </w:t>
      </w:r>
      <w:r w:rsidR="00A33B53">
        <w:rPr>
          <w:i/>
        </w:rPr>
        <w:t>in situ</w:t>
      </w:r>
      <w:r w:rsidR="005F7B9B">
        <w:t>, sem a necessidade de operadores qualitativos.</w:t>
      </w:r>
    </w:p>
    <w:p w:rsidR="005F7B9B" w:rsidRDefault="00EE54ED" w:rsidP="00EE54ED">
      <w:pPr>
        <w:pStyle w:val="Ttulo1"/>
        <w:ind w:firstLine="0"/>
      </w:pPr>
      <w:r>
        <w:t>Dispersões</w:t>
      </w:r>
    </w:p>
    <w:p w:rsidR="007C1E3F" w:rsidRDefault="00681E71" w:rsidP="00EE54ED">
      <w:r>
        <w:t>Dispersão</w:t>
      </w:r>
      <w:r w:rsidR="00D2612D">
        <w:t xml:space="preserve"> pode ser definida como, uma mistura de duas substâncias, em que possui partículas pequenas dispersas em uma outra</w:t>
      </w:r>
      <w:r w:rsidR="007C1E3F">
        <w:t>, onde pelo menos uma molécula é imiscível</w:t>
      </w:r>
      <w:r w:rsidR="00B1351A">
        <w:t xml:space="preserve"> </w:t>
      </w:r>
      <w:r w:rsidR="00B1351A" w:rsidRPr="00B1351A">
        <w:rPr>
          <w:highlight w:val="yellow"/>
        </w:rPr>
        <w:t>(1)</w:t>
      </w:r>
      <w:r w:rsidR="00D2612D">
        <w:t xml:space="preserve">. </w:t>
      </w:r>
      <w:r w:rsidR="007C1E3F">
        <w:t xml:space="preserve">Podem ser descritas como sistemas termodinamicamente estável ou instável. </w:t>
      </w:r>
      <w:r w:rsidR="00B1351A">
        <w:t>S</w:t>
      </w:r>
      <w:r w:rsidR="007C1E3F">
        <w:t>istem</w:t>
      </w:r>
      <w:r w:rsidR="00D22D3B">
        <w:t xml:space="preserve">as termodinamicamente instáveis, </w:t>
      </w:r>
      <w:r w:rsidR="003B3A15">
        <w:t>menor</w:t>
      </w:r>
      <w:r w:rsidR="00D22D3B">
        <w:t xml:space="preserve"> entropia, </w:t>
      </w:r>
      <w:r w:rsidR="007C1E3F">
        <w:t>são chamados também de emulsões</w:t>
      </w:r>
      <w:r w:rsidR="00B1351A">
        <w:t>.</w:t>
      </w:r>
    </w:p>
    <w:p w:rsidR="00D22D3B" w:rsidRDefault="003B3A15" w:rsidP="00D22D3B">
      <w:r>
        <w:t>N</w:t>
      </w:r>
      <w:r w:rsidR="00D22D3B">
        <w:t xml:space="preserve">o ano de 1943 foi revelado na literatura por </w:t>
      </w:r>
      <w:proofErr w:type="spellStart"/>
      <w:r w:rsidR="00D22D3B">
        <w:t>Hoar</w:t>
      </w:r>
      <w:proofErr w:type="spellEnd"/>
      <w:r w:rsidR="00D22D3B">
        <w:t xml:space="preserve"> e </w:t>
      </w:r>
      <w:proofErr w:type="spellStart"/>
      <w:r w:rsidR="00D22D3B">
        <w:t>Shulman</w:t>
      </w:r>
      <w:proofErr w:type="spellEnd"/>
      <w:r w:rsidR="00D22D3B">
        <w:t xml:space="preserve">, </w:t>
      </w:r>
      <w:r w:rsidR="00642CED">
        <w:t xml:space="preserve">sistemas transparentes água em óleo, que mais tarde seriam descritos como </w:t>
      </w:r>
      <w:r w:rsidR="00D22D3B">
        <w:t>sistemas termodinamicamente estáveis e isotropicamente</w:t>
      </w:r>
      <w:r w:rsidR="00642CED">
        <w:t xml:space="preserve"> translúcido ou simplesmente microemulsão</w:t>
      </w:r>
      <w:r w:rsidR="0089354F">
        <w:t xml:space="preserve"> - </w:t>
      </w:r>
      <w:proofErr w:type="spellStart"/>
      <w:r w:rsidR="0089354F">
        <w:t>MEs</w:t>
      </w:r>
      <w:proofErr w:type="spellEnd"/>
      <w:r w:rsidR="00D22D3B">
        <w:t xml:space="preserve"> </w:t>
      </w:r>
      <w:r w:rsidR="00D22D3B" w:rsidRPr="00B1351A">
        <w:rPr>
          <w:highlight w:val="yellow"/>
        </w:rPr>
        <w:t>(</w:t>
      </w:r>
      <w:r w:rsidR="00D22D3B">
        <w:rPr>
          <w:highlight w:val="yellow"/>
        </w:rPr>
        <w:t>2</w:t>
      </w:r>
      <w:r w:rsidR="00D22D3B" w:rsidRPr="00B1351A">
        <w:rPr>
          <w:highlight w:val="yellow"/>
        </w:rPr>
        <w:t>)</w:t>
      </w:r>
      <w:r w:rsidR="00D22D3B">
        <w:t xml:space="preserve">. </w:t>
      </w:r>
    </w:p>
    <w:p w:rsidR="00642CED" w:rsidRDefault="00642CED" w:rsidP="00D22D3B">
      <w:r>
        <w:t xml:space="preserve">Assim como a emulsão, a microemulsão também é constituída por duas substâncias de fases </w:t>
      </w:r>
      <w:r w:rsidR="000F3640">
        <w:t>hidrofílica</w:t>
      </w:r>
      <w:r>
        <w:t xml:space="preserve"> e </w:t>
      </w:r>
      <w:r w:rsidR="009B05F7">
        <w:t>hidrofóbica</w:t>
      </w:r>
      <w:r>
        <w:t xml:space="preserve">, entretanto para que haja a </w:t>
      </w:r>
      <w:r w:rsidR="00564262">
        <w:t xml:space="preserve">estabilização do sistema, é necessário a adição de um filme interfacial de </w:t>
      </w:r>
      <w:proofErr w:type="spellStart"/>
      <w:r w:rsidR="00ED220A">
        <w:t>tensoativos</w:t>
      </w:r>
      <w:proofErr w:type="spellEnd"/>
      <w:r w:rsidR="00ED220A">
        <w:t>, em outras palavras um surfactante</w:t>
      </w:r>
      <w:r w:rsidR="00564262">
        <w:t>.</w:t>
      </w:r>
    </w:p>
    <w:p w:rsidR="007C1E3F" w:rsidRDefault="00834F7B" w:rsidP="00834F7B">
      <w:r>
        <w:t xml:space="preserve">Quando comparadas, é possível </w:t>
      </w:r>
      <w:r w:rsidR="00954614">
        <w:t>evidenciar</w:t>
      </w:r>
      <w:r>
        <w:t xml:space="preserve"> aspectos fundamentais que as </w:t>
      </w:r>
      <w:r w:rsidR="00954614">
        <w:t>diferem</w:t>
      </w:r>
      <w:r>
        <w:t xml:space="preserve">. </w:t>
      </w:r>
      <w:r w:rsidR="001249DA">
        <w:t xml:space="preserve">Uma emulsão é constituída por dispersões com diâmetro que variam entre 1 e 10 </w:t>
      </w:r>
      <w:r w:rsidR="001249DA">
        <w:rPr>
          <w:rFonts w:cs="Arial"/>
        </w:rPr>
        <w:t>µ</w:t>
      </w:r>
      <w:r w:rsidR="001249DA">
        <w:t xml:space="preserve">m, sua coloração é visualmente turva. Na microemulsão, estas dimensões </w:t>
      </w:r>
      <w:r w:rsidR="00FD6299">
        <w:t xml:space="preserve">mantêm-se em torno de 0.01 e 0.001 </w:t>
      </w:r>
      <w:r w:rsidR="00FD6299">
        <w:rPr>
          <w:rFonts w:cs="Arial"/>
        </w:rPr>
        <w:t>µ</w:t>
      </w:r>
      <w:r w:rsidR="00FD6299">
        <w:t>m, são opticamente transparentes</w:t>
      </w:r>
      <w:r w:rsidR="000F3640">
        <w:t xml:space="preserve"> </w:t>
      </w:r>
      <w:r w:rsidR="00A32128" w:rsidRPr="000F3640">
        <w:rPr>
          <w:highlight w:val="yellow"/>
        </w:rPr>
        <w:t>(3)</w:t>
      </w:r>
      <w:r w:rsidR="00FD6299">
        <w:t>.</w:t>
      </w:r>
    </w:p>
    <w:p w:rsidR="00F44B67" w:rsidRDefault="009B05F7" w:rsidP="00681E71">
      <w:r>
        <w:t xml:space="preserve">Estas diferenças são resultantes </w:t>
      </w:r>
      <w:r w:rsidR="00F44B67">
        <w:t xml:space="preserve">da </w:t>
      </w:r>
      <w:r w:rsidR="00997DF6">
        <w:t xml:space="preserve">absorção </w:t>
      </w:r>
      <w:r w:rsidR="00F44B67">
        <w:t xml:space="preserve">gradual </w:t>
      </w:r>
      <w:r w:rsidR="00997DF6">
        <w:t>do surfactante – anfifílico, pelas interfaces polares</w:t>
      </w:r>
      <w:r w:rsidR="00370900">
        <w:t xml:space="preserve"> – </w:t>
      </w:r>
      <w:r>
        <w:t>água</w:t>
      </w:r>
      <w:r w:rsidR="00997DF6">
        <w:t xml:space="preserve"> e </w:t>
      </w:r>
      <w:r>
        <w:t>apolar</w:t>
      </w:r>
      <w:r w:rsidR="00997DF6">
        <w:t>es</w:t>
      </w:r>
      <w:r>
        <w:t xml:space="preserve"> </w:t>
      </w:r>
      <w:r w:rsidR="00370900">
        <w:t>–</w:t>
      </w:r>
      <w:r>
        <w:t xml:space="preserve"> óleo</w:t>
      </w:r>
      <w:r w:rsidR="00997DF6">
        <w:t>.</w:t>
      </w:r>
      <w:r w:rsidR="00C079AA">
        <w:t xml:space="preserve"> Esta absorção gera uma pressão superficial que contribui para a expansão das gotículas presentes </w:t>
      </w:r>
      <w:r w:rsidR="00C079AA">
        <w:lastRenderedPageBreak/>
        <w:t>nas dispersões, causando uma redução do valor da tensão interfacial</w:t>
      </w:r>
      <w:r w:rsidR="00C133BB">
        <w:t>, por conseguinte, há a geração da estabilidade termodinâmica das dispersões</w:t>
      </w:r>
      <w:r w:rsidR="008E4ADA">
        <w:t xml:space="preserve"> </w:t>
      </w:r>
      <w:r w:rsidR="008E4ADA" w:rsidRPr="008E4ADA">
        <w:rPr>
          <w:highlight w:val="yellow"/>
        </w:rPr>
        <w:t>(4)</w:t>
      </w:r>
      <w:r w:rsidR="00C079AA">
        <w:t>.</w:t>
      </w:r>
      <w:r w:rsidR="00F44B67">
        <w:t xml:space="preserve"> Este efeito é dado pela formula:</w:t>
      </w:r>
    </w:p>
    <w:p w:rsidR="00F44B67" w:rsidRPr="00F44B67" w:rsidRDefault="00F44B67" w:rsidP="00681E71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γi= γo- π</m:t>
          </m:r>
        </m:oMath>
      </m:oMathPara>
    </w:p>
    <w:p w:rsidR="00F44B67" w:rsidRDefault="00F44B67" w:rsidP="00F44B67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Onde </w:t>
      </w:r>
      <m:oMath>
        <m:r>
          <m:rPr>
            <m:sty m:val="bi"/>
          </m:rPr>
          <w:rPr>
            <w:rFonts w:ascii="Cambria Math" w:hAnsi="Cambria Math"/>
          </w:rPr>
          <m:t>γi</m:t>
        </m:r>
      </m:oMath>
      <w:r>
        <w:rPr>
          <w:rFonts w:eastAsiaTheme="minorEastAsia"/>
        </w:rPr>
        <w:t xml:space="preserve"> é tensão interfacial final, </w:t>
      </w:r>
      <m:oMath>
        <m:r>
          <m:rPr>
            <m:sty m:val="bi"/>
          </m:rPr>
          <w:rPr>
            <w:rFonts w:ascii="Cambria Math" w:hAnsi="Cambria Math"/>
          </w:rPr>
          <m:t>γo</m:t>
        </m:r>
      </m:oMath>
      <w:r>
        <w:rPr>
          <w:rFonts w:eastAsiaTheme="minorEastAsia"/>
        </w:rPr>
        <w:t xml:space="preserve"> tensão interfacial inicial e </w:t>
      </w:r>
      <m:oMath>
        <m:r>
          <m:rPr>
            <m:sty m:val="bi"/>
          </m:rPr>
          <w:rPr>
            <w:rFonts w:ascii="Cambria Math" w:hAnsi="Cambria Math"/>
          </w:rPr>
          <m:t>π</m:t>
        </m:r>
      </m:oMath>
      <w:r>
        <w:rPr>
          <w:rFonts w:eastAsiaTheme="minorEastAsia"/>
        </w:rPr>
        <w:t xml:space="preserve"> é dado pela somatória das pressões resultantes das interações </w:t>
      </w:r>
      <w:r w:rsidR="007E31E9">
        <w:rPr>
          <w:rFonts w:eastAsiaTheme="minorEastAsia"/>
        </w:rPr>
        <w:t xml:space="preserve">entre os grupos das substâncias de caráter polar e apolar na fase do anfifílico </w:t>
      </w:r>
      <w:r w:rsidR="007E31E9" w:rsidRPr="008E4ADA">
        <w:rPr>
          <w:highlight w:val="yellow"/>
        </w:rPr>
        <w:t>(4)</w:t>
      </w:r>
      <w:r w:rsidR="007E31E9">
        <w:rPr>
          <w:rFonts w:eastAsiaTheme="minorEastAsia"/>
        </w:rPr>
        <w:t>.</w:t>
      </w:r>
    </w:p>
    <w:p w:rsidR="004A5C46" w:rsidRDefault="004A5C46" w:rsidP="004A5C46">
      <w:r>
        <w:t xml:space="preserve">Como a redução da pressão interfacial, </w:t>
      </w:r>
      <w:r w:rsidR="00773D4F">
        <w:t>o sistema saia de um</w:t>
      </w:r>
      <w:r w:rsidR="00E71162">
        <w:t>a emulsão para uma microemulsão</w:t>
      </w:r>
      <w:r w:rsidR="00773D4F">
        <w:t xml:space="preserve"> por meio da diminuição da energia livre </w:t>
      </w:r>
      <w:r w:rsidR="00E71162">
        <w:t xml:space="preserve">de </w:t>
      </w:r>
      <w:proofErr w:type="spellStart"/>
      <w:r w:rsidR="00E71162">
        <w:t>Gibbs</w:t>
      </w:r>
      <w:proofErr w:type="spellEnd"/>
      <w:r w:rsidR="00E71162">
        <w:t xml:space="preserve"> – representa o quanto de energia um processo dispõe, em temperatura e pressão constante, para realizar um trabalho útil. Como mostra a equação:</w:t>
      </w:r>
    </w:p>
    <w:p w:rsidR="00E71162" w:rsidRPr="0058601F" w:rsidRDefault="0058601F" w:rsidP="004A5C46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dG= γi dσ</m:t>
          </m:r>
        </m:oMath>
      </m:oMathPara>
    </w:p>
    <w:p w:rsidR="00F44B67" w:rsidRDefault="0058601F" w:rsidP="002118E5">
      <w:pPr>
        <w:ind w:firstLine="0"/>
      </w:pPr>
      <w:r>
        <w:t xml:space="preserve">Em que o resultante é a energia livre, </w:t>
      </w:r>
      <w:r>
        <w:rPr>
          <w:rFonts w:eastAsiaTheme="minorEastAsia"/>
        </w:rPr>
        <w:t xml:space="preserve">dada pela </w:t>
      </w:r>
      <w:r w:rsidR="003344D4">
        <w:rPr>
          <w:rFonts w:eastAsiaTheme="minorEastAsia"/>
        </w:rPr>
        <w:t>multiplicação</w:t>
      </w:r>
      <w:r>
        <w:rPr>
          <w:rFonts w:eastAsiaTheme="minorEastAsia"/>
        </w:rPr>
        <w:t xml:space="preserve"> da tensão interfacial </w:t>
      </w:r>
      <m:oMath>
        <m:r>
          <m:rPr>
            <m:sty m:val="bi"/>
          </m:rPr>
          <w:rPr>
            <w:rFonts w:ascii="Cambria Math" w:hAnsi="Cambria Math"/>
          </w:rPr>
          <m:t>γi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pela área interfacial </w:t>
      </w:r>
      <m:oMath>
        <m:r>
          <m:rPr>
            <m:sty m:val="bi"/>
          </m:rP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>.</w:t>
      </w:r>
    </w:p>
    <w:p w:rsidR="00C133BB" w:rsidRDefault="00C133BB" w:rsidP="00681E71">
      <w:pPr>
        <w:pStyle w:val="Ttulo1"/>
        <w:ind w:firstLine="0"/>
      </w:pPr>
      <w:r>
        <w:t>MEC</w:t>
      </w:r>
    </w:p>
    <w:p w:rsidR="00D8741C" w:rsidRDefault="00681E71" w:rsidP="00C3491A">
      <w:proofErr w:type="spellStart"/>
      <w:r>
        <w:rPr>
          <w:i/>
        </w:rPr>
        <w:t>Microemulsification-based</w:t>
      </w:r>
      <w:proofErr w:type="spellEnd"/>
      <w:r>
        <w:rPr>
          <w:i/>
        </w:rPr>
        <w:t xml:space="preserve"> </w:t>
      </w:r>
      <w:proofErr w:type="spellStart"/>
      <w:r w:rsidRPr="00681E71">
        <w:rPr>
          <w:i/>
        </w:rPr>
        <w:t>method</w:t>
      </w:r>
      <w:proofErr w:type="spellEnd"/>
      <w:r>
        <w:rPr>
          <w:i/>
        </w:rPr>
        <w:t xml:space="preserve">, </w:t>
      </w:r>
      <w:r>
        <w:t xml:space="preserve">MEC, </w:t>
      </w:r>
      <w:r w:rsidRPr="00681E71">
        <w:t>consiste</w:t>
      </w:r>
      <w:r>
        <w:t xml:space="preserve"> na utilização do fenômeno da microemulsificação como técnica de análise quantitativa para determinações precisas ou preliminares</w:t>
      </w:r>
      <w:r w:rsidR="00D8741C">
        <w:t>, mediante detecção óptica</w:t>
      </w:r>
      <w:r>
        <w:t xml:space="preserve"> </w:t>
      </w:r>
      <w:r w:rsidRPr="00681E71">
        <w:rPr>
          <w:highlight w:val="yellow"/>
        </w:rPr>
        <w:t>(4)</w:t>
      </w:r>
      <w:r>
        <w:t>.</w:t>
      </w:r>
      <w:r w:rsidR="00C3491A">
        <w:t xml:space="preserve"> </w:t>
      </w:r>
    </w:p>
    <w:p w:rsidR="00C133BB" w:rsidRDefault="00A82D1D" w:rsidP="00834F7B">
      <w:r>
        <w:t xml:space="preserve">As </w:t>
      </w:r>
      <w:proofErr w:type="spellStart"/>
      <w:r>
        <w:t>microemulsões</w:t>
      </w:r>
      <w:proofErr w:type="spellEnd"/>
      <w:r>
        <w:t xml:space="preserve"> são constituídas </w:t>
      </w:r>
      <w:r w:rsidR="001B317B">
        <w:t>por meio d</w:t>
      </w:r>
      <w:r>
        <w:t xml:space="preserve">o efeito da variação do </w:t>
      </w:r>
      <w:proofErr w:type="spellStart"/>
      <w:r>
        <w:t>analito</w:t>
      </w:r>
      <w:proofErr w:type="spellEnd"/>
      <w:r>
        <w:t xml:space="preserve"> – substância alvo em um ensaio, </w:t>
      </w:r>
      <w:r w:rsidR="00FF0B26">
        <w:t>sobre a</w:t>
      </w:r>
      <w:r>
        <w:t xml:space="preserve"> entropia das dispersões.</w:t>
      </w:r>
      <w:r w:rsidR="001B317B">
        <w:t xml:space="preserve"> Assim a formação de uma microemulsão está diretamente ligada ao volume mínimo de um anfifílico necessário para a estabilização da solução.</w:t>
      </w:r>
    </w:p>
    <w:p w:rsidR="001249DA" w:rsidRDefault="00905A10" w:rsidP="00834F7B">
      <w:r>
        <w:t xml:space="preserve">A fração volumétrica mínima de anfifílico necessária para a estabilização do sistema expressa a resposta analítica do MEC, também chamado de </w:t>
      </w:r>
      <w:r w:rsidRPr="00DA34C5">
        <w:rPr>
          <w:rFonts w:cs="Arial"/>
        </w:rPr>
        <w:t>Φ</w:t>
      </w:r>
      <w:r w:rsidRPr="00DA34C5">
        <w:rPr>
          <w:rFonts w:ascii="Cambria" w:hAnsi="Cambria"/>
          <w:vertAlign w:val="subscript"/>
        </w:rPr>
        <w:t>ME</w:t>
      </w:r>
      <w:r w:rsidR="00DA34C5">
        <w:t xml:space="preserve">. </w:t>
      </w:r>
      <w:r>
        <w:t xml:space="preserve">Esta medida é caracterizada por uma informação binária, sendo a transição turvo-transparente. </w:t>
      </w:r>
    </w:p>
    <w:p w:rsidR="00D84B9E" w:rsidRDefault="00D84B9E" w:rsidP="00834F7B">
      <w:r>
        <w:t xml:space="preserve">Esta característica peculiar das dispersões, conversão heterogênea para </w:t>
      </w:r>
      <w:proofErr w:type="spellStart"/>
      <w:r>
        <w:t>microemulsões</w:t>
      </w:r>
      <w:proofErr w:type="spellEnd"/>
      <w:r>
        <w:t xml:space="preserve">, permite determinações analíticas precisas, por meio de </w:t>
      </w:r>
      <w:r>
        <w:lastRenderedPageBreak/>
        <w:t xml:space="preserve">detecção óptica, uma vez que o sistema passa de um estado visual turvo/branco para transparente/translucido. </w:t>
      </w:r>
    </w:p>
    <w:p w:rsidR="00830C59" w:rsidRDefault="000B6F4E" w:rsidP="00830C59">
      <w:pPr>
        <w:pStyle w:val="Ttulo1"/>
        <w:ind w:firstLine="0"/>
      </w:pPr>
      <w:r>
        <w:t>Rotina analítica</w:t>
      </w:r>
    </w:p>
    <w:p w:rsidR="00830C59" w:rsidRDefault="00830C59" w:rsidP="00830C59">
      <w:r>
        <w:t xml:space="preserve">O protocolo experimental do MEC pode variar dependendo da natureza do solvente das amostras reais, de forma que o </w:t>
      </w:r>
      <w:proofErr w:type="spellStart"/>
      <w:r>
        <w:t>analito</w:t>
      </w:r>
      <w:proofErr w:type="spellEnd"/>
      <w:r>
        <w:t xml:space="preserve"> pode estar presente em quaisquer fases. </w:t>
      </w:r>
    </w:p>
    <w:p w:rsidR="000B6F4E" w:rsidRDefault="00830C59" w:rsidP="002A5540">
      <w:r>
        <w:t xml:space="preserve">Em um processo convencional de batelada, </w:t>
      </w:r>
      <w:r w:rsidR="002A5540">
        <w:t xml:space="preserve">as </w:t>
      </w:r>
      <w:proofErr w:type="spellStart"/>
      <w:r w:rsidR="002A5540">
        <w:t>microemulsões</w:t>
      </w:r>
      <w:proofErr w:type="spellEnd"/>
      <w:r w:rsidR="002A5540">
        <w:t xml:space="preserve"> são feitas com auxílio de tubos </w:t>
      </w:r>
      <w:proofErr w:type="spellStart"/>
      <w:r w:rsidR="002A5540">
        <w:t>Eppendorf</w:t>
      </w:r>
      <w:proofErr w:type="spellEnd"/>
      <w:r w:rsidR="002A5540" w:rsidRPr="002A5540">
        <w:rPr>
          <w:rFonts w:cs="Arial"/>
          <w:vertAlign w:val="superscript"/>
        </w:rPr>
        <w:t>®</w:t>
      </w:r>
      <w:r w:rsidR="002A5540">
        <w:rPr>
          <w:rFonts w:cs="Arial"/>
          <w:vertAlign w:val="superscript"/>
        </w:rPr>
        <w:t xml:space="preserve"> </w:t>
      </w:r>
      <w:r w:rsidR="002A5540">
        <w:t>e micropipetas. No caso de o agente dispersante da amostra for um anfifílico, as razões volumétricas de hidrofílicos e hidrofóbicos são iguais</w:t>
      </w:r>
      <w:r w:rsidR="00DA34C5">
        <w:t>, o que altera é a fração volumétrica do anfifílico até formar uma microemulsão.</w:t>
      </w:r>
    </w:p>
    <w:p w:rsidR="000C38BB" w:rsidRDefault="00DA34C5" w:rsidP="00DA34C5">
      <w:pPr>
        <w:rPr>
          <w:rFonts w:cs="Arial"/>
        </w:rPr>
      </w:pPr>
      <w:r>
        <w:t xml:space="preserve">A quantidade mínima de anfifílico para gerar uma microemulsificação é chamada </w:t>
      </w:r>
      <w:r w:rsidRPr="00DA34C5">
        <w:rPr>
          <w:rFonts w:cs="Arial"/>
        </w:rPr>
        <w:t>Φ</w:t>
      </w:r>
      <w:r w:rsidRPr="00DA34C5">
        <w:rPr>
          <w:rFonts w:ascii="Cambria" w:hAnsi="Cambria"/>
          <w:vertAlign w:val="subscript"/>
        </w:rPr>
        <w:t>ME</w:t>
      </w:r>
      <w:r>
        <w:rPr>
          <w:rFonts w:cs="Arial"/>
        </w:rPr>
        <w:t>, que representa a resposta analítica do método MEC. Este valor refere-se ao monitoramento da turbidez do sistema</w:t>
      </w:r>
      <w:r w:rsidR="00CF7904">
        <w:rPr>
          <w:rFonts w:cs="Arial"/>
        </w:rPr>
        <w:t>, a transparência implica em microemulsificação</w:t>
      </w:r>
      <w:r>
        <w:rPr>
          <w:rFonts w:cs="Arial"/>
        </w:rPr>
        <w:t>.</w:t>
      </w:r>
    </w:p>
    <w:p w:rsidR="00CF7904" w:rsidRDefault="000C38BB" w:rsidP="000C38BB">
      <w:pPr>
        <w:pStyle w:val="Ttulo1"/>
        <w:ind w:firstLine="0"/>
      </w:pPr>
      <w:r>
        <w:t>Aplicações</w:t>
      </w:r>
    </w:p>
    <w:p w:rsidR="000C38BB" w:rsidRDefault="000C38BB" w:rsidP="000C38BB">
      <w:r>
        <w:t xml:space="preserve">O método MEC pode ser aplicado para quantificar as mais diversas espécies em uma amostra. </w:t>
      </w:r>
    </w:p>
    <w:p w:rsidR="000C38BB" w:rsidRPr="000C38BB" w:rsidRDefault="000C38BB" w:rsidP="000C38BB">
      <w:r>
        <w:t>Neste tópico serão apresentados algumas das aplicações deste método no âmbito comercial.</w:t>
      </w:r>
    </w:p>
    <w:p w:rsidR="002118E5" w:rsidRPr="002118E5" w:rsidRDefault="000C38BB" w:rsidP="002118E5">
      <w:pPr>
        <w:pStyle w:val="Ttulo2"/>
      </w:pPr>
      <w:proofErr w:type="spellStart"/>
      <w:r>
        <w:t>Monoetilenoglicol</w:t>
      </w:r>
      <w:proofErr w:type="spellEnd"/>
      <w:r>
        <w:t xml:space="preserve"> em gás natural liquefeito</w:t>
      </w:r>
    </w:p>
    <w:p w:rsidR="000C38BB" w:rsidRDefault="00F3564E" w:rsidP="000C38BB">
      <w:r>
        <w:t>O</w:t>
      </w:r>
      <w:r w:rsidR="00956865">
        <w:t xml:space="preserve"> MEC foi usado para determinar o teor de </w:t>
      </w:r>
      <w:proofErr w:type="spellStart"/>
      <w:r w:rsidR="00956865">
        <w:t>monoetilenoglicol</w:t>
      </w:r>
      <w:proofErr w:type="spellEnd"/>
      <w:r w:rsidR="00E04C41">
        <w:t xml:space="preserve"> – MEG,</w:t>
      </w:r>
      <w:r w:rsidR="00956865">
        <w:t xml:space="preserve"> em amostras de gás natural liquefeito.</w:t>
      </w:r>
    </w:p>
    <w:p w:rsidR="00956865" w:rsidRDefault="0006708F" w:rsidP="000C38BB">
      <w:r>
        <w:t xml:space="preserve">Quando o Gás Natural Liquefeito – GNL </w:t>
      </w:r>
      <w:r w:rsidR="00956865">
        <w:t>é extraído dos poços submarinhos e transportados para as plataformas ou navios offshore, alguns resíduos sólidos são gerados nas tubulações. Estas substâncias são chamadas de hidratos, e se não removidas podem entupir os dutos.</w:t>
      </w:r>
    </w:p>
    <w:p w:rsidR="00956865" w:rsidRDefault="00E04C41" w:rsidP="000C38BB">
      <w:r>
        <w:t xml:space="preserve">Para evitar que os tubos se danifiquem com a formação dos hidratos, são adicionadas porções de MEG no combustível. Entretanto, este produto é </w:t>
      </w:r>
      <w:r w:rsidR="0006708F">
        <w:t xml:space="preserve">um </w:t>
      </w:r>
      <w:r w:rsidR="0006708F">
        <w:lastRenderedPageBreak/>
        <w:t>contaminante e precisa ser retirado do gás. A Petrobras, por meios de processos químicos faz a remoção do MEG presente do GNL.</w:t>
      </w:r>
    </w:p>
    <w:p w:rsidR="0006708F" w:rsidRDefault="0006708F" w:rsidP="000C38BB">
      <w:r>
        <w:t xml:space="preserve">O problema situa-se nos processos que quantificam a eficiência dos processos que retiram o MEG do GNL. </w:t>
      </w:r>
      <w:r w:rsidR="0004392F">
        <w:t>As análises convencionais duram horas e utilizam diversos reagentes químicos, o MEC é capaz de realizar a mesma análise em menos de 10 minutos.</w:t>
      </w:r>
    </w:p>
    <w:p w:rsidR="00522A80" w:rsidRDefault="00BD2A2D" w:rsidP="00522A80">
      <w:r>
        <w:t xml:space="preserve">O MEG é um produto que fica dissolvido em um meio líquido composto por água, ácidos e outros. </w:t>
      </w:r>
      <w:r w:rsidR="008D0542">
        <w:t xml:space="preserve">Com a adição de uma </w:t>
      </w:r>
      <w:r w:rsidR="00522A80">
        <w:t>de um óleo, é gerado uma dispersão. Como visto nos tópicos supracitados, para que haja uma interação entre fases opostas é preciso incorporar um surfactante, neste caso o etanol. Desta forma, é acrescentado à mistura o etanol sob agitação vigorosa até obter a estabilização das fases. A quantidade de MEG é determinada a partir da quantidade de etanol acrescentada para obtenção da microemulsificação.</w:t>
      </w:r>
    </w:p>
    <w:p w:rsidR="00522A80" w:rsidRDefault="002118E5" w:rsidP="00F3564E">
      <w:pPr>
        <w:pStyle w:val="Ttulo2"/>
      </w:pPr>
      <w:r>
        <w:t>Etanol em vinho de cana de açúcar</w:t>
      </w:r>
    </w:p>
    <w:p w:rsidR="0004392F" w:rsidRDefault="00D01F0C" w:rsidP="005671AF">
      <w:r>
        <w:t>Atualmente o etanol é um dos combustíveis mais produzidos no mundo, ele é um álcool derivado de fontes renováveis como a</w:t>
      </w:r>
      <w:r w:rsidR="005671AF">
        <w:t xml:space="preserve"> cana de açúcar e milho. É fabricado a partir do processo de fermentação, sendo que esta etapa é fundamental para a produção de biocombustíveis, pois qualquer alteração neste procedimento implica em interferências na ação das leveduras.</w:t>
      </w:r>
    </w:p>
    <w:p w:rsidR="00657255" w:rsidRDefault="00B24912" w:rsidP="00657255">
      <w:r>
        <w:t>Em virtude disto</w:t>
      </w:r>
      <w:r w:rsidR="005671AF">
        <w:t xml:space="preserve">, o monitoramento das concentrações de etanol </w:t>
      </w:r>
      <w:r w:rsidR="00657255">
        <w:t xml:space="preserve">em amostras de caldo fermentado de cana de açúcar, é de suma importante para detectar resultantes insatisfatórias </w:t>
      </w:r>
      <w:r>
        <w:t xml:space="preserve">durante o processo de fabricação </w:t>
      </w:r>
      <w:r w:rsidR="00657255" w:rsidRPr="00657255">
        <w:rPr>
          <w:highlight w:val="yellow"/>
        </w:rPr>
        <w:t>(4)</w:t>
      </w:r>
      <w:r w:rsidR="00657255">
        <w:t>. No entanto, amostras de caldo de fermentação e vinho são complexas</w:t>
      </w:r>
      <w:r>
        <w:t>, o que requer geralmente o uso de métodos indiretos.</w:t>
      </w:r>
    </w:p>
    <w:p w:rsidR="00B24912" w:rsidRDefault="00441BB7" w:rsidP="00657255">
      <w:r>
        <w:t>Como um novo desafio, foi aplicado o método MEC para diagnósticos de etanol em caldo fermentado de cana de açúcar, os resultados obtidos foram precisos</w:t>
      </w:r>
      <w:r w:rsidR="00157004">
        <w:t xml:space="preserve"> e satisfatórios. </w:t>
      </w:r>
    </w:p>
    <w:p w:rsidR="00D23439" w:rsidRDefault="00D23439" w:rsidP="00D23439">
      <w:pPr>
        <w:pStyle w:val="Ttulo2"/>
      </w:pPr>
      <w:r>
        <w:t>Aplicação do MEC em microfluídica</w:t>
      </w:r>
    </w:p>
    <w:p w:rsidR="00D23439" w:rsidRDefault="00D23439" w:rsidP="00D23439">
      <w:r w:rsidRPr="00342709">
        <w:t>A microfluídica pode ser definida como a ciência e tecnologia de sistemas que processam e manipulam pequenos conjuntos de fluidos – 10</w:t>
      </w:r>
      <w:r w:rsidRPr="00342709">
        <w:rPr>
          <w:vertAlign w:val="superscript"/>
        </w:rPr>
        <w:t>-9</w:t>
      </w:r>
      <w:r w:rsidRPr="00342709">
        <w:t xml:space="preserve"> a 10</w:t>
      </w:r>
      <w:r w:rsidRPr="00342709">
        <w:rPr>
          <w:vertAlign w:val="superscript"/>
        </w:rPr>
        <w:t>-18</w:t>
      </w:r>
      <w:r w:rsidRPr="00342709">
        <w:t xml:space="preserve"> litros, </w:t>
      </w:r>
      <w:r w:rsidRPr="00342709">
        <w:lastRenderedPageBreak/>
        <w:t>em canais com dimensões que variam de dez a cem micrometros (WHITESIDES, 2006).</w:t>
      </w:r>
    </w:p>
    <w:p w:rsidR="001F1E96" w:rsidRDefault="003A4234" w:rsidP="00D23439">
      <w:r>
        <w:t xml:space="preserve">Nos primórdios das análises com o método MEC, para a obtenção de uma microemulsão eram utilizados micropipetas e tubos </w:t>
      </w:r>
      <w:proofErr w:type="spellStart"/>
      <w:r>
        <w:t>Eppendorf</w:t>
      </w:r>
      <w:proofErr w:type="spellEnd"/>
      <w:r w:rsidRPr="002A5540">
        <w:rPr>
          <w:rFonts w:cs="Arial"/>
          <w:vertAlign w:val="superscript"/>
        </w:rPr>
        <w:t>®</w:t>
      </w:r>
      <w:r>
        <w:t>,</w:t>
      </w:r>
      <w:r w:rsidR="00415309">
        <w:t xml:space="preserve"> em processos de</w:t>
      </w:r>
      <w:r w:rsidR="001F1E96">
        <w:t xml:space="preserve"> batelada, e</w:t>
      </w:r>
      <w:r w:rsidR="00415309">
        <w:t>ntretanto, não era po</w:t>
      </w:r>
      <w:r w:rsidR="001F1E96">
        <w:t xml:space="preserve">ssível o monitoramento contínuo e automático. Neste ínterim, foram </w:t>
      </w:r>
      <w:r w:rsidR="00650EDF">
        <w:t>incorporados</w:t>
      </w:r>
      <w:r w:rsidR="001F1E96">
        <w:t xml:space="preserve"> </w:t>
      </w:r>
      <w:r w:rsidR="001F1E96" w:rsidRPr="001F1E96">
        <w:rPr>
          <w:i/>
        </w:rPr>
        <w:t>chips</w:t>
      </w:r>
      <w:r w:rsidR="001F1E96">
        <w:t xml:space="preserve"> microfluídicos </w:t>
      </w:r>
      <w:r w:rsidR="00650EDF">
        <w:t xml:space="preserve">aos procedimentos de execução do MEC. </w:t>
      </w:r>
    </w:p>
    <w:p w:rsidR="008748C2" w:rsidRDefault="008748C2" w:rsidP="00D23439">
      <w:r>
        <w:t xml:space="preserve">Com auxílio do dispositivo </w:t>
      </w:r>
      <w:proofErr w:type="spellStart"/>
      <w:r>
        <w:t>microfluídico</w:t>
      </w:r>
      <w:proofErr w:type="spellEnd"/>
      <w:r>
        <w:t xml:space="preserve">, além de gerar as requeridas microemulsificações e manter um processo contínuo, é possível realizar a mistura das substâncias por meio de </w:t>
      </w:r>
      <w:r w:rsidR="00D515B1">
        <w:t xml:space="preserve">processos turbulentos. </w:t>
      </w:r>
    </w:p>
    <w:p w:rsidR="00D515B1" w:rsidRDefault="00D515B1" w:rsidP="00D515B1">
      <w:pPr>
        <w:pStyle w:val="Ttulo2"/>
      </w:pPr>
      <w:proofErr w:type="spellStart"/>
      <w:r>
        <w:t>Microfabricação</w:t>
      </w:r>
      <w:proofErr w:type="spellEnd"/>
      <w:r>
        <w:t xml:space="preserve"> dos </w:t>
      </w:r>
      <w:r w:rsidRPr="00D515B1">
        <w:rPr>
          <w:i/>
        </w:rPr>
        <w:t>chips</w:t>
      </w:r>
    </w:p>
    <w:p w:rsidR="00650EDF" w:rsidRDefault="00650EDF" w:rsidP="00D23439">
      <w:r>
        <w:t>Este</w:t>
      </w:r>
      <w:r w:rsidR="002A3AA5">
        <w:t>s</w:t>
      </w:r>
      <w:r>
        <w:t xml:space="preserve"> dispositivo</w:t>
      </w:r>
      <w:r w:rsidR="002A3AA5">
        <w:t>s</w:t>
      </w:r>
      <w:r>
        <w:t xml:space="preserve"> </w:t>
      </w:r>
      <w:r w:rsidR="002A3AA5">
        <w:t xml:space="preserve">são </w:t>
      </w:r>
      <w:r w:rsidR="008748C2">
        <w:t>produzidos</w:t>
      </w:r>
      <w:r w:rsidR="002A3AA5">
        <w:t xml:space="preserve"> com polímeros ela</w:t>
      </w:r>
      <w:r w:rsidR="008748C2">
        <w:t xml:space="preserve">stoméricos, geralmente PDMS. O processo de fabricação é constituído de duas etapas: polimerização e remoção do </w:t>
      </w:r>
      <w:proofErr w:type="spellStart"/>
      <w:r w:rsidR="008748C2">
        <w:t>scaffold</w:t>
      </w:r>
      <w:proofErr w:type="spellEnd"/>
      <w:r w:rsidR="008748C2">
        <w:t xml:space="preserve">. </w:t>
      </w:r>
    </w:p>
    <w:p w:rsidR="001D4623" w:rsidRDefault="009A6464" w:rsidP="00D23439">
      <w:r>
        <w:t xml:space="preserve">Para a construção do </w:t>
      </w:r>
      <w:r>
        <w:rPr>
          <w:i/>
        </w:rPr>
        <w:t>chip</w:t>
      </w:r>
      <w:r w:rsidR="0035333D">
        <w:t xml:space="preserve"> é utilizado</w:t>
      </w:r>
      <w:r>
        <w:t xml:space="preserve"> uma peça de alumínio com três orifícios em um la</w:t>
      </w:r>
      <w:r w:rsidR="00351B52">
        <w:t>do e um no outro. Dentro desses</w:t>
      </w:r>
      <w:r w:rsidR="003B6CC3">
        <w:t xml:space="preserve"> três </w:t>
      </w:r>
      <w:r>
        <w:t>furos são inseridos fios de</w:t>
      </w:r>
      <w:r w:rsidR="003B6CC3">
        <w:t xml:space="preserve"> nylon</w:t>
      </w:r>
      <w:r w:rsidR="00351B52">
        <w:t xml:space="preserve">, </w:t>
      </w:r>
      <w:r w:rsidR="0035333D">
        <w:t>fixados em agulhas que servem de suporte,</w:t>
      </w:r>
      <w:r w:rsidR="00367919">
        <w:t xml:space="preserve"> estes</w:t>
      </w:r>
      <w:r w:rsidR="0035333D">
        <w:t xml:space="preserve"> se unem no orifício contraposto</w:t>
      </w:r>
      <w:r w:rsidR="0026241E">
        <w:t>, após serem tranç</w:t>
      </w:r>
      <w:r w:rsidR="0035333D">
        <w:t>ados manualmente</w:t>
      </w:r>
      <w:r w:rsidR="001D4623">
        <w:t xml:space="preserve"> até alcançar aproximadamente 15 mm de comprimento.</w:t>
      </w:r>
    </w:p>
    <w:p w:rsidR="002C037E" w:rsidRDefault="001D4623" w:rsidP="00D23439">
      <w:r>
        <w:t xml:space="preserve">Após a construção da estrutura prévia, o PDMS juntamente com o agente de cura, são despejados sobre a peça de alumínio até a borda. Em seguida, o </w:t>
      </w:r>
      <w:r>
        <w:rPr>
          <w:i/>
        </w:rPr>
        <w:t>chip</w:t>
      </w:r>
      <w:r>
        <w:t xml:space="preserve"> é levado para a estufa a 95 °C por 40 minutos</w:t>
      </w:r>
      <w:r w:rsidR="002C037E">
        <w:t xml:space="preserve"> – tempo necessário para a cura do PDMS. </w:t>
      </w:r>
    </w:p>
    <w:p w:rsidR="009A6464" w:rsidRDefault="0061010F" w:rsidP="00D23439">
      <w:r>
        <w:t>Posteriormente</w:t>
      </w:r>
      <w:r w:rsidR="002C037E">
        <w:t xml:space="preserve">, para </w:t>
      </w:r>
      <w:r>
        <w:t xml:space="preserve">que </w:t>
      </w:r>
      <w:r w:rsidR="002C037E">
        <w:t xml:space="preserve">o nylon </w:t>
      </w:r>
      <w:r>
        <w:t xml:space="preserve">se descole das paredes da estrutura de PDMS </w:t>
      </w:r>
      <w:r w:rsidR="002C037E">
        <w:t>é aplic</w:t>
      </w:r>
      <w:r>
        <w:t xml:space="preserve">ada uma leve tensão sobre o fio, seguida de </w:t>
      </w:r>
      <w:r w:rsidR="002C037E">
        <w:t>movimento</w:t>
      </w:r>
      <w:r>
        <w:t>s</w:t>
      </w:r>
      <w:r w:rsidR="002C037E">
        <w:t xml:space="preserve"> de rotação e translação para retirada do nylon do PDMS.</w:t>
      </w:r>
    </w:p>
    <w:p w:rsidR="0061010F" w:rsidRDefault="0061010F" w:rsidP="00D23439">
      <w:r>
        <w:t>O motivo pelo qual os fios foram enrolados, é para que os simples canais se transformem misturadores eficientes, causando uma maior turbulência para a mistura das fases.</w:t>
      </w:r>
    </w:p>
    <w:p w:rsidR="00BE468E" w:rsidRDefault="0061010F" w:rsidP="00667AFC">
      <w:r>
        <w:lastRenderedPageBreak/>
        <w:t xml:space="preserve">Finalmente, após a remoção dos fios e da estrutura de alumínio, o </w:t>
      </w:r>
      <w:r>
        <w:rPr>
          <w:i/>
        </w:rPr>
        <w:t>chip</w:t>
      </w:r>
      <w:r>
        <w:t xml:space="preserve"> é levado novamente para </w:t>
      </w:r>
      <w:r w:rsidR="00D11437">
        <w:t xml:space="preserve">à estufa a 120 °C por 20 minutos para completar as reações de </w:t>
      </w:r>
      <w:proofErr w:type="spellStart"/>
      <w:r w:rsidR="00D11437">
        <w:rPr>
          <w:i/>
        </w:rPr>
        <w:t>crosslinking</w:t>
      </w:r>
      <w:proofErr w:type="spellEnd"/>
      <w:r w:rsidR="00D11437">
        <w:t xml:space="preserve"> do PDMS. </w:t>
      </w:r>
    </w:p>
    <w:p w:rsidR="00637519" w:rsidRDefault="00BE468E" w:rsidP="00667AFC">
      <w:r>
        <w:tab/>
        <w:t xml:space="preserve">Por ser um dispositivo de peça única, </w:t>
      </w:r>
      <w:r w:rsidR="00506903">
        <w:t xml:space="preserve">a força de adesão é extremamente elevada, logo, é possível gerar um regime turbulento </w:t>
      </w:r>
      <w:r w:rsidR="00667AFC">
        <w:t xml:space="preserve">aplicando vazões </w:t>
      </w:r>
      <w:r w:rsidR="00637519">
        <w:t>elevadas</w:t>
      </w:r>
      <w:r w:rsidR="00667AFC">
        <w:t xml:space="preserve">. </w:t>
      </w:r>
      <w:bookmarkStart w:id="0" w:name="_GoBack"/>
      <w:bookmarkEnd w:id="0"/>
    </w:p>
    <w:p w:rsidR="00637519" w:rsidRDefault="00637519">
      <w:pPr>
        <w:spacing w:line="259" w:lineRule="auto"/>
        <w:ind w:firstLine="0"/>
        <w:jc w:val="left"/>
      </w:pPr>
      <w:r>
        <w:br w:type="page"/>
      </w:r>
    </w:p>
    <w:p w:rsidR="00BE468E" w:rsidRDefault="00BE468E" w:rsidP="00667AFC"/>
    <w:p w:rsidR="0061010F" w:rsidRPr="00D11437" w:rsidRDefault="0061010F" w:rsidP="00D23439"/>
    <w:p w:rsidR="00B24912" w:rsidRDefault="00B24912" w:rsidP="00657255"/>
    <w:p w:rsidR="005671AF" w:rsidRPr="000C38BB" w:rsidRDefault="005671AF" w:rsidP="005671AF"/>
    <w:p w:rsidR="00DA34C5" w:rsidRPr="00DA34C5" w:rsidRDefault="00DA34C5" w:rsidP="00DA34C5">
      <w:pPr>
        <w:rPr>
          <w:rFonts w:cs="Arial"/>
        </w:rPr>
      </w:pPr>
    </w:p>
    <w:p w:rsidR="001249DA" w:rsidRDefault="001249DA" w:rsidP="002C037E">
      <w:pPr>
        <w:ind w:firstLine="0"/>
        <w:rPr>
          <w:rFonts w:cs="Arial"/>
          <w:b/>
          <w:szCs w:val="24"/>
        </w:rPr>
      </w:pPr>
    </w:p>
    <w:p w:rsidR="007C1E3F" w:rsidRDefault="007C1E3F" w:rsidP="007C1E3F">
      <w:pPr>
        <w:rPr>
          <w:rFonts w:cs="Arial"/>
          <w:b/>
          <w:szCs w:val="24"/>
        </w:rPr>
      </w:pPr>
      <w:r>
        <w:rPr>
          <w:rFonts w:cs="Arial"/>
          <w:b/>
          <w:szCs w:val="24"/>
        </w:rPr>
        <w:t>Referências</w:t>
      </w:r>
    </w:p>
    <w:p w:rsidR="007C1E3F" w:rsidRPr="00A32128" w:rsidRDefault="007C1E3F" w:rsidP="00A32128">
      <w:pPr>
        <w:rPr>
          <w:sz w:val="20"/>
          <w:szCs w:val="20"/>
        </w:rPr>
      </w:pPr>
      <w:r w:rsidRPr="00A32128">
        <w:rPr>
          <w:sz w:val="20"/>
          <w:szCs w:val="20"/>
        </w:rPr>
        <w:t xml:space="preserve">1 - </w:t>
      </w:r>
      <w:hyperlink r:id="rId5" w:history="1">
        <w:r w:rsidR="00D22D3B" w:rsidRPr="00A32128">
          <w:rPr>
            <w:rStyle w:val="Hyperlink"/>
            <w:rFonts w:cs="Arial"/>
            <w:sz w:val="20"/>
            <w:szCs w:val="20"/>
          </w:rPr>
          <w:t>https://www.maxwell.vrac.puc-rio.br/12535/12535_3.PDF</w:t>
        </w:r>
      </w:hyperlink>
    </w:p>
    <w:p w:rsidR="00D22D3B" w:rsidRPr="00A32128" w:rsidRDefault="00D22D3B" w:rsidP="00A32128">
      <w:pPr>
        <w:rPr>
          <w:sz w:val="20"/>
          <w:szCs w:val="20"/>
        </w:rPr>
      </w:pPr>
    </w:p>
    <w:p w:rsidR="00D22D3B" w:rsidRPr="00A32128" w:rsidRDefault="00D22D3B" w:rsidP="00A32128">
      <w:pPr>
        <w:rPr>
          <w:sz w:val="20"/>
          <w:szCs w:val="20"/>
        </w:rPr>
      </w:pPr>
      <w:r w:rsidRPr="00A32128">
        <w:rPr>
          <w:sz w:val="20"/>
          <w:szCs w:val="20"/>
        </w:rPr>
        <w:t xml:space="preserve">2 – </w:t>
      </w:r>
      <w:hyperlink r:id="rId6" w:history="1">
        <w:r w:rsidRPr="00A32128">
          <w:rPr>
            <w:rStyle w:val="Hyperlink"/>
            <w:rFonts w:cs="Arial"/>
            <w:sz w:val="20"/>
            <w:szCs w:val="20"/>
          </w:rPr>
          <w:t>http://serv-bib.fcfar.unesp.br/seer/index.php/Cien_Farm/article/viewFile/1420/1048</w:t>
        </w:r>
      </w:hyperlink>
    </w:p>
    <w:p w:rsidR="00A32128" w:rsidRPr="00A32128" w:rsidRDefault="00A32128" w:rsidP="00A32128">
      <w:pPr>
        <w:rPr>
          <w:sz w:val="20"/>
          <w:szCs w:val="20"/>
        </w:rPr>
      </w:pPr>
    </w:p>
    <w:p w:rsidR="00A32128" w:rsidRDefault="00A32128" w:rsidP="00A32128">
      <w:pPr>
        <w:rPr>
          <w:sz w:val="20"/>
          <w:szCs w:val="20"/>
        </w:rPr>
      </w:pPr>
      <w:r w:rsidRPr="00A32128">
        <w:rPr>
          <w:sz w:val="20"/>
          <w:szCs w:val="20"/>
        </w:rPr>
        <w:t xml:space="preserve">3 - </w:t>
      </w:r>
      <w:hyperlink r:id="rId7" w:history="1">
        <w:r w:rsidRPr="00432FB9">
          <w:rPr>
            <w:rStyle w:val="Hyperlink"/>
            <w:sz w:val="20"/>
            <w:szCs w:val="20"/>
          </w:rPr>
          <w:t>https://www.maxwell.vrac.puc-rio.br/12535/12535_3.PDF</w:t>
        </w:r>
      </w:hyperlink>
    </w:p>
    <w:p w:rsidR="008E4ADA" w:rsidRDefault="008E4ADA" w:rsidP="00A32128">
      <w:pPr>
        <w:rPr>
          <w:sz w:val="20"/>
          <w:szCs w:val="20"/>
        </w:rPr>
      </w:pPr>
    </w:p>
    <w:p w:rsidR="008E4ADA" w:rsidRDefault="008E4ADA" w:rsidP="00A32128">
      <w:pPr>
        <w:rPr>
          <w:sz w:val="20"/>
          <w:szCs w:val="20"/>
        </w:rPr>
      </w:pPr>
      <w:r>
        <w:rPr>
          <w:sz w:val="20"/>
          <w:szCs w:val="20"/>
        </w:rPr>
        <w:t xml:space="preserve">4 – Relatório </w:t>
      </w:r>
      <w:proofErr w:type="spellStart"/>
      <w:r>
        <w:rPr>
          <w:sz w:val="20"/>
          <w:szCs w:val="20"/>
        </w:rPr>
        <w:t>fapesp</w:t>
      </w:r>
      <w:proofErr w:type="spellEnd"/>
      <w:r>
        <w:rPr>
          <w:sz w:val="20"/>
          <w:szCs w:val="20"/>
        </w:rPr>
        <w:t xml:space="preserve"> Renato</w:t>
      </w:r>
    </w:p>
    <w:p w:rsidR="008E4ADA" w:rsidRDefault="008E4ADA" w:rsidP="00A32128">
      <w:pPr>
        <w:rPr>
          <w:sz w:val="20"/>
          <w:szCs w:val="20"/>
        </w:rPr>
      </w:pPr>
    </w:p>
    <w:p w:rsidR="008E4ADA" w:rsidRDefault="008E4ADA" w:rsidP="00A32128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A32128" w:rsidRDefault="00A32128" w:rsidP="00A32128">
      <w:pPr>
        <w:rPr>
          <w:sz w:val="20"/>
          <w:szCs w:val="20"/>
        </w:rPr>
      </w:pPr>
    </w:p>
    <w:p w:rsidR="00A32128" w:rsidRPr="00A32128" w:rsidRDefault="00A32128" w:rsidP="00A32128">
      <w:pPr>
        <w:rPr>
          <w:sz w:val="20"/>
          <w:szCs w:val="20"/>
        </w:rPr>
      </w:pPr>
    </w:p>
    <w:p w:rsidR="00D22D3B" w:rsidRPr="00D22D3B" w:rsidRDefault="00D22D3B" w:rsidP="007C1E3F">
      <w:pPr>
        <w:rPr>
          <w:rFonts w:cs="Arial"/>
          <w:b/>
          <w:sz w:val="18"/>
          <w:szCs w:val="18"/>
        </w:rPr>
      </w:pPr>
    </w:p>
    <w:p w:rsidR="00D22D3B" w:rsidRPr="00D22D3B" w:rsidRDefault="00D22D3B" w:rsidP="007C1E3F">
      <w:pPr>
        <w:rPr>
          <w:rFonts w:cs="Arial"/>
          <w:b/>
          <w:sz w:val="18"/>
          <w:szCs w:val="18"/>
        </w:rPr>
      </w:pPr>
    </w:p>
    <w:sectPr w:rsidR="00D22D3B" w:rsidRPr="00D22D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738"/>
    <w:rsid w:val="00000BF6"/>
    <w:rsid w:val="0004392F"/>
    <w:rsid w:val="0006708F"/>
    <w:rsid w:val="00082B00"/>
    <w:rsid w:val="000B6F4E"/>
    <w:rsid w:val="000C38BB"/>
    <w:rsid w:val="000D0204"/>
    <w:rsid w:val="000F3640"/>
    <w:rsid w:val="000F4235"/>
    <w:rsid w:val="001249DA"/>
    <w:rsid w:val="00152239"/>
    <w:rsid w:val="0015280A"/>
    <w:rsid w:val="00157004"/>
    <w:rsid w:val="001B2189"/>
    <w:rsid w:val="001B317B"/>
    <w:rsid w:val="001D4623"/>
    <w:rsid w:val="001F1E96"/>
    <w:rsid w:val="002118E5"/>
    <w:rsid w:val="0021293F"/>
    <w:rsid w:val="0026241E"/>
    <w:rsid w:val="00280E33"/>
    <w:rsid w:val="00284E64"/>
    <w:rsid w:val="002875B0"/>
    <w:rsid w:val="00297452"/>
    <w:rsid w:val="002A3AA5"/>
    <w:rsid w:val="002A5540"/>
    <w:rsid w:val="002C037E"/>
    <w:rsid w:val="002D7ABD"/>
    <w:rsid w:val="00304CE3"/>
    <w:rsid w:val="00313BD9"/>
    <w:rsid w:val="003344D4"/>
    <w:rsid w:val="00351B52"/>
    <w:rsid w:val="0035333D"/>
    <w:rsid w:val="00367919"/>
    <w:rsid w:val="00370900"/>
    <w:rsid w:val="003718C0"/>
    <w:rsid w:val="00375BE3"/>
    <w:rsid w:val="003A4234"/>
    <w:rsid w:val="003B3A15"/>
    <w:rsid w:val="003B5653"/>
    <w:rsid w:val="003B6CC3"/>
    <w:rsid w:val="00415309"/>
    <w:rsid w:val="00441BB7"/>
    <w:rsid w:val="004A5C46"/>
    <w:rsid w:val="004F3333"/>
    <w:rsid w:val="004F5922"/>
    <w:rsid w:val="00506903"/>
    <w:rsid w:val="00522A80"/>
    <w:rsid w:val="00564262"/>
    <w:rsid w:val="00565397"/>
    <w:rsid w:val="005671AF"/>
    <w:rsid w:val="0058601F"/>
    <w:rsid w:val="00586F15"/>
    <w:rsid w:val="005A77C5"/>
    <w:rsid w:val="005B7F58"/>
    <w:rsid w:val="005F7B9B"/>
    <w:rsid w:val="0061010F"/>
    <w:rsid w:val="00637519"/>
    <w:rsid w:val="00642CED"/>
    <w:rsid w:val="00650EDF"/>
    <w:rsid w:val="00655B8A"/>
    <w:rsid w:val="00657255"/>
    <w:rsid w:val="00667AFC"/>
    <w:rsid w:val="00681E71"/>
    <w:rsid w:val="007511B8"/>
    <w:rsid w:val="00773D4F"/>
    <w:rsid w:val="007C1E3F"/>
    <w:rsid w:val="007D6A45"/>
    <w:rsid w:val="007E31E9"/>
    <w:rsid w:val="007E6E7A"/>
    <w:rsid w:val="00830C59"/>
    <w:rsid w:val="00834F7B"/>
    <w:rsid w:val="008748C2"/>
    <w:rsid w:val="0089354F"/>
    <w:rsid w:val="008D0542"/>
    <w:rsid w:val="008E4ADA"/>
    <w:rsid w:val="00905A10"/>
    <w:rsid w:val="00951A95"/>
    <w:rsid w:val="00954614"/>
    <w:rsid w:val="00956865"/>
    <w:rsid w:val="00960823"/>
    <w:rsid w:val="0098788C"/>
    <w:rsid w:val="00997DF6"/>
    <w:rsid w:val="009A6464"/>
    <w:rsid w:val="009B05F7"/>
    <w:rsid w:val="00A32128"/>
    <w:rsid w:val="00A33B53"/>
    <w:rsid w:val="00A82D1D"/>
    <w:rsid w:val="00AC1C41"/>
    <w:rsid w:val="00AC4675"/>
    <w:rsid w:val="00B1351A"/>
    <w:rsid w:val="00B24912"/>
    <w:rsid w:val="00B46DDF"/>
    <w:rsid w:val="00B65448"/>
    <w:rsid w:val="00B93738"/>
    <w:rsid w:val="00BD2A2D"/>
    <w:rsid w:val="00BE468E"/>
    <w:rsid w:val="00C079AA"/>
    <w:rsid w:val="00C133BB"/>
    <w:rsid w:val="00C3491A"/>
    <w:rsid w:val="00C675A1"/>
    <w:rsid w:val="00C8545C"/>
    <w:rsid w:val="00CE5122"/>
    <w:rsid w:val="00CF7904"/>
    <w:rsid w:val="00D01F0C"/>
    <w:rsid w:val="00D11437"/>
    <w:rsid w:val="00D22D3B"/>
    <w:rsid w:val="00D23439"/>
    <w:rsid w:val="00D2612D"/>
    <w:rsid w:val="00D422F1"/>
    <w:rsid w:val="00D515B1"/>
    <w:rsid w:val="00D84B9E"/>
    <w:rsid w:val="00D8741C"/>
    <w:rsid w:val="00DA34C5"/>
    <w:rsid w:val="00DD42F1"/>
    <w:rsid w:val="00E03E79"/>
    <w:rsid w:val="00E04C41"/>
    <w:rsid w:val="00E07014"/>
    <w:rsid w:val="00E37EB1"/>
    <w:rsid w:val="00E47003"/>
    <w:rsid w:val="00E67636"/>
    <w:rsid w:val="00E71162"/>
    <w:rsid w:val="00ED220A"/>
    <w:rsid w:val="00EE54ED"/>
    <w:rsid w:val="00F34522"/>
    <w:rsid w:val="00F3564E"/>
    <w:rsid w:val="00F44B67"/>
    <w:rsid w:val="00FD6299"/>
    <w:rsid w:val="00FE3580"/>
    <w:rsid w:val="00FE6A3D"/>
    <w:rsid w:val="00FF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64768"/>
  <w14:defaultImageDpi w14:val="32767"/>
  <w15:chartTrackingRefBased/>
  <w15:docId w15:val="{B85ECAC9-496C-4A39-8E5E-46657D93B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65397"/>
    <w:pPr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EE54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C38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E54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D22D3B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A32128"/>
    <w:pPr>
      <w:spacing w:after="0" w:line="240" w:lineRule="auto"/>
      <w:ind w:firstLine="709"/>
      <w:jc w:val="both"/>
    </w:pPr>
    <w:rPr>
      <w:rFonts w:ascii="Arial" w:hAnsi="Arial"/>
      <w:sz w:val="24"/>
    </w:rPr>
  </w:style>
  <w:style w:type="character" w:styleId="TextodoEspaoReservado">
    <w:name w:val="Placeholder Text"/>
    <w:basedOn w:val="Fontepargpadro"/>
    <w:uiPriority w:val="99"/>
    <w:semiHidden/>
    <w:rsid w:val="00F44B67"/>
    <w:rPr>
      <w:color w:val="808080"/>
    </w:rPr>
  </w:style>
  <w:style w:type="character" w:customStyle="1" w:styleId="Ttulo2Char">
    <w:name w:val="Título 2 Char"/>
    <w:basedOn w:val="Fontepargpadro"/>
    <w:link w:val="Ttulo2"/>
    <w:uiPriority w:val="9"/>
    <w:rsid w:val="000C38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118E5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71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axwell.vrac.puc-rio.br/12535/12535_3.PD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serv-bib.fcfar.unesp.br/seer/index.php/Cien_Farm/article/viewFile/1420/1048" TargetMode="External"/><Relationship Id="rId5" Type="http://schemas.openxmlformats.org/officeDocument/2006/relationships/hyperlink" Target="https://www.maxwell.vrac.puc-rio.br/12535/12535_3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1D0B9-645E-410F-B97C-28EAD4047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1420</TotalTime>
  <Pages>8</Pages>
  <Words>1814</Words>
  <Characters>9797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de Freitas Schwarz</dc:creator>
  <cp:keywords/>
  <dc:description/>
  <cp:lastModifiedBy>Stephane de Freitas Schwarz</cp:lastModifiedBy>
  <cp:revision>52</cp:revision>
  <dcterms:created xsi:type="dcterms:W3CDTF">2017-05-22T14:20:00Z</dcterms:created>
  <dcterms:modified xsi:type="dcterms:W3CDTF">2017-05-25T13:47:00Z</dcterms:modified>
</cp:coreProperties>
</file>