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color w:val="8A94A6"/>
          <w:sz w:val="24"/>
          <w:szCs w:val="24"/>
        </w:rPr>
        <w:t xml:space="preserve">Référentiels de l'analyse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1. Informations sur l'analyse</w:t>
      </w:r>
    </w:p>
    <w:p>
      <w:r>
        <w:t xml:space="preserve">Titre : </w:t>
      </w:r>
      <w:r>
        <w:rPr>
          <w:rFonts w:ascii="Consolas" w:cs="Consolas" w:eastAsia="Consolas" w:hAnsi="Consolas"/>
        </w:rPr>
        <w:t xml:space="preserve">{{ analysis.title }}</w:t>
      </w:r>
    </w:p>
    <w:p>
      <w:r>
        <w:t xml:space="preserve">Organisation : </w:t>
      </w:r>
      <w:r>
        <w:rPr>
          <w:rFonts w:ascii="Consolas" w:cs="Consolas" w:eastAsia="Consolas" w:hAnsi="Consolas"/>
        </w:rPr>
        <w:t xml:space="preserve">{{ analysis.organization | default="—" }}</w:t>
      </w:r>
      <w:r>
        <w:t xml:space="preserve"> · Auteur : </w:t>
      </w:r>
      <w:r>
        <w:rPr>
          <w:rFonts w:ascii="Consolas" w:cs="Consolas" w:eastAsia="Consolas" w:hAnsi="Consolas"/>
        </w:rPr>
        <w:t xml:space="preserve">{{ analysis.author | default="—"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| default="—" }}</w:t>
      </w:r>
    </w:p>
    <w:p>
      <w:r>
        <w:t xml:space="preserve">Référence méthodologique : </w:t>
      </w:r>
      <w:r>
        <w:rPr>
          <w:rFonts w:ascii="Consolas" w:cs="Consolas" w:eastAsia="Consolas" w:hAnsi="Consolas"/>
        </w:rPr>
        <w:t xml:space="preserve">{{ analysis.reference | default="—" }}</w:t>
      </w:r>
    </w:p>
    <w:p>
      <w:r>
        <w:t xml:space="preserve">Révision : </w:t>
      </w:r>
      <w:r>
        <w:rPr>
          <w:rFonts w:ascii="Consolas" w:cs="Consolas" w:eastAsia="Consolas" w:hAnsi="Consolas"/>
        </w:rPr>
        <w:t xml:space="preserve">{{ analysis.revision | default="—" }}</w:t>
      </w:r>
      <w:r>
        <w:t xml:space="preserve"> · Statut :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Langue : </w:t>
      </w:r>
      <w:r>
        <w:rPr>
          <w:rFonts w:ascii="Consolas" w:cs="Consolas" w:eastAsia="Consolas" w:hAnsi="Consolas"/>
        </w:rPr>
        <w:t xml:space="preserve">{{ analysis.language }}</w:t>
      </w:r>
    </w:p>
    <w:p>
      <w:r>
        <w:t xml:space="preserve">Créée le : </w:t>
      </w:r>
      <w:r>
        <w:rPr>
          <w:rFonts w:ascii="Consolas" w:cs="Consolas" w:eastAsia="Consolas" w:hAnsi="Consolas"/>
        </w:rPr>
        <w:t xml:space="preserve">{{ analysis.created | date="long" }}</w:t>
      </w:r>
      <w:r>
        <w:t xml:space="preserve"> · Mise à jour le :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t xml:space="preserve">Description :</w:t>
      </w:r>
    </w:p>
    <w:p>
      <w:r>
        <w:rPr>
          <w:rFonts w:ascii="Consolas" w:cs="Consolas" w:eastAsia="Consolas" w:hAnsi="Consolas"/>
        </w:rPr>
        <w:t xml:space="preserve">{{ analysis.description }}</w:t>
      </w:r>
    </w:p>
    <w:p>
      <w:pPr>
        <w:pStyle w:val="Heading1"/>
      </w:pPr>
      <w:r>
        <w:t xml:space="preserve">2. Grille de cotation</w:t>
      </w:r>
    </w:p>
    <w:p>
      <w:r>
        <w:t xml:space="preserve">Méthode de calcul du score : </w:t>
      </w:r>
      <w:r>
        <w:rPr>
          <w:rFonts w:ascii="Consolas" w:cs="Consolas" w:eastAsia="Consolas" w:hAnsi="Consolas"/>
        </w:rPr>
        <w:t xml:space="preserve">{{ grid.method }}</w:t>
      </w:r>
    </w:p>
    <w:p>
      <w:pPr>
        <w:pStyle w:val="Heading2"/>
      </w:pPr>
      <w:r>
        <w:t xml:space="preserve">Échelle de vraisemblance — </w:t>
      </w:r>
      <w:r>
        <w:rPr>
          <w:rFonts w:ascii="Consolas" w:cs="Consolas" w:eastAsia="Consolas" w:hAnsi="Consolas"/>
        </w:rPr>
        <w:t xml:space="preserve">{{ grid.vertical_axis }}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grid.vertical_axis.levels}}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Échelle de gravité — </w:t>
      </w:r>
      <w:r>
        <w:rPr>
          <w:rFonts w:ascii="Consolas" w:cs="Consolas" w:eastAsia="Consolas" w:hAnsi="Consolas"/>
        </w:rPr>
        <w:t xml:space="preserve">{{ grid.horizontal_axis }}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grid.horizontal_axis.levels}}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source="levels" }}</w:t>
      </w:r>
    </w:p>
    <w:p>
      <w:pPr>
        <w:pStyle w:val="Heading1"/>
      </w:pPr>
      <w:r>
        <w:t xml:space="preserve">3. Champs personnalisés — tableaux récapitulatifs</w:t>
      </w:r>
    </w:p>
    <w:p>
      <w:pPr>
        <w:pStyle w:val="Heading2"/>
      </w:pPr>
      <w:r>
        <w:t xml:space="preserve">Tous les champs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}}</w:t>
      </w:r>
    </w:p>
    <w:p>
      <w:pPr>
        <w:pStyle w:val="Heading2"/>
      </w:pPr>
      <w:r>
        <w:t xml:space="preserve">Champs de l'analyse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target="analysis" }}</w:t>
      </w:r>
    </w:p>
    <w:p>
      <w:pPr>
        <w:pStyle w:val="Heading2"/>
      </w:pPr>
      <w:r>
        <w:t xml:space="preserve">Champs des risques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target="risk" }}</w:t>
      </w:r>
    </w:p>
    <w:p>
      <w:pPr>
        <w:pStyle w:val="Heading2"/>
      </w:pPr>
      <w:r>
        <w:t xml:space="preserve">Champs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target="measure" }}</w:t>
      </w:r>
    </w:p>
    <w:p>
      <w:pPr>
        <w:pStyle w:val="Heading2"/>
      </w:pPr>
      <w:r>
        <w:t xml:space="preserve">Champs des liens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target="link" }}</w:t>
      </w:r>
    </w:p>
    <w:p>
      <w:pPr>
        <w:pStyle w:val="Heading1"/>
      </w:pPr>
      <w:r>
        <w:t xml:space="preserve">4. Détail des champs et de leurs valeurs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custom_fields sort="target,code"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field.label }}</w:t>
      </w:r>
      <w:r>
        <w:t xml:space="preserve"> — </w:t>
      </w:r>
      <w:r>
        <w:rPr>
          <w:rFonts w:ascii="Consolas" w:cs="Consolas" w:eastAsia="Consolas" w:hAnsi="Consolas"/>
        </w:rPr>
        <w:t xml:space="preserve">{{ field.code }}</w:t>
      </w:r>
    </w:p>
    <w:p>
      <w:r>
        <w:t xml:space="preserve">Cible : </w:t>
      </w:r>
      <w:r>
        <w:rPr>
          <w:rFonts w:ascii="Consolas" w:cs="Consolas" w:eastAsia="Consolas" w:hAnsi="Consolas"/>
        </w:rPr>
        <w:t xml:space="preserve">{{ field.target }}</w:t>
      </w:r>
      <w:r>
        <w:t xml:space="preserve"> · Type : </w:t>
      </w:r>
      <w:r>
        <w:rPr>
          <w:rFonts w:ascii="Consolas" w:cs="Consolas" w:eastAsia="Consolas" w:hAnsi="Consolas"/>
        </w:rPr>
        <w:t xml:space="preserve">{{ field.type }}</w:t>
      </w:r>
      <w:r>
        <w:t xml:space="preserve"> · Obligatoire : </w:t>
      </w:r>
      <w:r>
        <w:rPr>
          <w:rFonts w:ascii="Consolas" w:cs="Consolas" w:eastAsia="Consolas" w:hAnsi="Consolas"/>
        </w:rPr>
        <w:t xml:space="preserve">{{ field.required }}</w:t>
      </w:r>
      <w:r>
        <w:t xml:space="preserve"> · Filtre : </w:t>
      </w:r>
      <w:r>
        <w:rPr>
          <w:rFonts w:ascii="Consolas" w:cs="Consolas" w:eastAsia="Consolas" w:hAnsi="Consolas"/>
        </w:rPr>
        <w:t xml:space="preserve">{{ field.filterable }}</w:t>
      </w:r>
    </w:p>
    <w:p>
      <w:r>
        <w:t xml:space="preserve">Aide : </w:t>
      </w:r>
      <w:r>
        <w:rPr>
          <w:rFonts w:ascii="Consolas" w:cs="Consolas" w:eastAsia="Consolas" w:hAnsi="Consolas"/>
        </w:rPr>
        <w:t xml:space="preserve">{{ field.help | default="—" }}</w:t>
      </w:r>
    </w:p>
    <w:p>
      <w:r>
        <w:t xml:space="preserve">Description : </w:t>
      </w:r>
      <w:r>
        <w:rPr>
          <w:rFonts w:ascii="Consolas" w:cs="Consolas" w:eastAsia="Consolas" w:hAnsi="Consolas"/>
        </w:rPr>
        <w:t xml:space="preserve">{{ field.description | default="—" }}</w:t>
      </w:r>
    </w:p>
    <w:p>
      <w:r>
        <w:t xml:space="preserve">Valeurs possibles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field.items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option.code }}</w:t>
      </w:r>
      <w:r>
        <w:t xml:space="preserve"> — </w:t>
      </w:r>
      <w:r>
        <w:rPr>
          <w:rFonts w:ascii="Consolas" w:cs="Consolas" w:eastAsia="Consolas" w:hAnsi="Consolas"/>
        </w:rPr>
        <w:t xml:space="preserve">{{ option.label }}</w:t>
      </w:r>
      <w:r>
        <w:t xml:space="preserve"> (</w:t>
      </w:r>
      <w:r>
        <w:rPr>
          <w:rFonts w:ascii="Consolas" w:cs="Consolas" w:eastAsia="Consolas" w:hAnsi="Consolas"/>
        </w:rPr>
        <w:t xml:space="preserve">{{ option.color | swatch }}</w:t>
      </w:r>
      <w:r>
        <w:t xml:space="preserve"> </w:t>
      </w:r>
      <w:r>
        <w:rPr>
          <w:rFonts w:ascii="Consolas" w:cs="Consolas" w:eastAsia="Consolas" w:hAnsi="Consolas"/>
        </w:rPr>
        <w:t xml:space="preserve">{{ option.color }}</w:t>
      </w:r>
      <w:r>
        <w:t xml:space="preserve">) : </w:t>
      </w:r>
      <w:r>
        <w:rPr>
          <w:rFonts w:ascii="Consolas" w:cs="Consolas" w:eastAsia="Consolas" w:hAnsi="Consolas"/>
        </w:rPr>
        <w:t xml:space="preserve">{{ option.description | default="—"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field_values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  <w:spacing w:after="160" w:before="340"/>
      </w:pPr>
      <w:r>
        <w:t xml:space="preserve">Types d'objets</w:t>
      </w:r>
    </w:p>
    <w:p>
      <w:r>
        <w:rPr>
          <w:color w:val="7A8699"/>
        </w:rPr>
        <w:t xml:space="preserve">Structure des types d'objets définis dans l'analyse (attributs et leur type).</w:t>
      </w:r>
    </w:p>
    <w:p>
      <w:r>
        <w:t xml:space="preserve">{{#each object_types}}</w:t>
      </w:r>
    </w:p>
    <w:p>
      <w:pPr>
        <w:spacing w:after="20" w:before="120"/>
      </w:pPr>
      <w:r>
        <w:rPr>
          <w:b/>
          <w:bCs/>
          <w:color w:val="3B4A63"/>
          <w:sz w:val="22"/>
          <w:szCs w:val="22"/>
        </w:rPr>
        <w:t xml:space="preserve">{{ type.label }}</w:t>
      </w:r>
      <w:r>
        <w:rPr>
          <w:color w:val="7A8699"/>
          <w:sz w:val="20"/>
          <w:szCs w:val="20"/>
        </w:rPr>
        <w:t xml:space="preserve">   {{ type.count }} instance(s) · préfixe {{ type.id_prefix }} · nom : {{ type.name_attr }}</w:t>
      </w:r>
    </w:p>
    <w:p>
      <w:r>
        <w:t xml:space="preserve">{{#each type.attributes}}</w:t>
      </w:r>
    </w:p>
    <w:p>
      <w:r>
        <w:t xml:space="preserve">   • </w:t>
      </w:r>
      <w:r>
        <w:rPr>
          <w:b/>
          <w:bCs/>
        </w:rPr>
        <w:t xml:space="preserve">{{ attribute.label }}</w:t>
      </w:r>
      <w:r>
        <w:rPr>
          <w:color w:val="7A8699"/>
          <w:sz w:val="20"/>
          <w:szCs w:val="20"/>
        </w:rPr>
        <w:t xml:space="preserve">  ({{ attribute.code }} · {{ attribute.type }})</w:t>
      </w:r>
    </w:p>
    <w:p>
      <w:r>
        <w:t xml:space="preserve">{{/each}}</w:t>
      </w:r>
    </w:p>
    <w:p>
      <w:r>
        <w:t xml:space="preserve">{{/each}}</w:t>
      </w:r>
    </w:p>
    <w:p>
      <w:pPr>
        <w:pStyle w:val="Heading1"/>
        <w:spacing w:after="160" w:before="340"/>
      </w:pPr>
      <w:r>
        <w:t xml:space="preserve">Objets</w:t>
      </w:r>
    </w:p>
    <w:p>
      <w:r>
        <w:rPr>
          <w:color w:val="7A8699"/>
        </w:rPr>
        <w:t xml:space="preserve">Inventaire des objets de l'analyse, groupés par type ; toutes les valeurs d'attributs, références déréférencées.</w:t>
      </w:r>
    </w:p>
    <w:p>
      <w:r>
        <w:t xml:space="preserve">{{#each objects group_by="type"}}</w:t>
      </w:r>
    </w:p>
    <w:p>
      <w:pPr>
        <w:pStyle w:val="Heading2"/>
        <w:spacing w:after="100" w:before="260"/>
      </w:pPr>
      <w:r>
        <w:t xml:space="preserve">{{ group.label }}</w:t>
      </w:r>
    </w:p>
    <w:p>
      <w:r>
        <w:t xml:space="preserve">{{#each group.items sort="id"}}</w:t>
      </w:r>
    </w:p>
    <w:p>
      <w:pPr>
        <w:pStyle w:val="Heading3"/>
        <w:spacing w:after="40" w:before="160"/>
      </w:pPr>
      <w:r>
        <w:t xml:space="preserve">{{ object.id }} — {{ object.label }}</w:t>
      </w:r>
    </w:p>
    <w:p>
      <w:r>
        <w:t xml:space="preserve">{{ object_notes }}</w:t>
      </w:r>
    </w:p>
    <w:p>
      <w:r>
        <w:t xml:space="preserve">{{/each}}</w:t>
      </w:r>
    </w:p>
    <w:p>
      <w: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2026-08-19T06:47:58.969Z</dcterms:created>
  <dcterms:modified xsi:type="dcterms:W3CDTF">2026-08-19T06:47:58.969Z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