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Tableau de bord des risques</w:t>
      </w:r>
    </w:p>
    <w:p>
      <w:r>
        <w:rPr>
          <w:rFonts w:ascii="Consolas" w:cs="Consolas" w:eastAsia="Consolas" w:hAnsi="Consolas"/>
        </w:rPr>
        <w:t xml:space="preserve">{{ analysis.title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analysis.organization }}</w:t>
      </w:r>
      <w:r>
        <w:t xml:space="preserve"> · mise à jour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pStyle w:val="Heading1"/>
      </w:pPr>
      <w:r>
        <w:t xml:space="preserve">Chiffres clés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type="counters"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{{#if analysis.reduced_count &gt; "0"}}</w:t>
      </w:r>
    </w:p>
    <w:p>
      <w:r>
        <w:rPr>
          <w:rFonts w:ascii="Consolas" w:cs="Consolas" w:eastAsia="Consolas" w:hAnsi="Consolas"/>
        </w:rPr>
        <w:t xml:space="preserve">{{ analysis.reduced_count }}</w:t>
      </w:r>
      <w:r>
        <w:t xml:space="preserve"> risque(s) réduit(s) sur </w:t>
      </w:r>
      <w:r>
        <w:rPr>
          <w:rFonts w:ascii="Consolas" w:cs="Consolas" w:eastAsia="Consolas" w:hAnsi="Consolas"/>
        </w:rPr>
        <w:t xml:space="preserve">{{ analysis.risks_count }}</w:t>
      </w:r>
      <w:r>
        <w:t xml:space="preserve"> — la maîtrise progresse.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n'a encore été réduit entre l'initial et le résiduel.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{{/if}}</w:t>
      </w:r>
    </w:p>
    <w:p>
      <w:pPr>
        <w:pStyle w:val="Heading1"/>
      </w:pPr>
      <w:r>
        <w:t xml:space="preserve">Couverture du traitement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type="coverage"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{{#unless analysis.links_count &gt; "0"}}</w:t>
      </w:r>
    </w:p>
    <w:p>
      <w:r>
        <w:t xml:space="preserve">⚠ Aucun lien risque↔mesure n'est défini : la couverture ne peut pas être évaluée.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{{/unless}}</w:t>
      </w:r>
    </w:p>
    <w:p>
      <w:pPr>
        <w:pStyle w:val="Heading1"/>
      </w:pPr>
      <w:r>
        <w:t xml:space="preserve">Criticité — initial vs résiduel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type="criticality" display="both" shape="donut" }}</w:t>
      </w:r>
    </w:p>
    <w:p>
      <w:pPr>
        <w:pStyle w:val="Heading1"/>
      </w:pPr>
      <w:r>
        <w:t xml:space="preserve">Répartition des risques par catégorie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type="category" display="chart" shape="pie" }}</w:t>
      </w:r>
    </w:p>
    <w:p>
      <w:pPr>
        <w:pStyle w:val="Heading1"/>
      </w:pPr>
      <w:r>
        <w:t xml:space="preserve">Avancement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type="measure_status" display="both" shape="donut" }}</w:t>
      </w:r>
    </w:p>
    <w:p>
      <w:r>
        <w:br w:type="page"/>
      </w:r>
    </w:p>
    <w:p>
      <w:pPr>
        <w:pStyle w:val="Heading1"/>
      </w:pPr>
      <w:r>
        <w:t xml:space="preserve">Suivi des échéances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3000"/>
        <w:gridCol w:w="1500"/>
        <w:gridCol w:w="1500"/>
        <w:gridCol w:w="1900"/>
        <w:gridCol w:w="14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Mesure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 sort="due_date"}}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measure.type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measure.status | badge }}</w:t>
            </w: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  {{#if measure.overdue}}En retard{{/if}}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measure.responsible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measure.due_date | date="JJ/MM/AAAA"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Mesures en retard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measures filter="overdue='true'" sort="due_date"}}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⚠ </w:t>
      </w:r>
      <w:r>
        <w:rPr>
          <w:rFonts w:ascii="Consolas" w:cs="Consolas" w:eastAsia="Consolas" w:hAnsi="Consolas"/>
        </w:rPr>
        <w:t xml:space="preserve">{{ measure.id }}</w:t>
      </w:r>
      <w:r>
        <w:t xml:space="preserve"> — </w:t>
      </w:r>
      <w:r>
        <w:rPr>
          <w:rFonts w:ascii="Consolas" w:cs="Consolas" w:eastAsia="Consolas" w:hAnsi="Consolas"/>
        </w:rPr>
        <w:t xml:space="preserve">{{ measure.label }}</w:t>
      </w:r>
      <w:r>
        <w:t xml:space="preserve"> · échéance </w:t>
      </w:r>
      <w:r>
        <w:rPr>
          <w:rFonts w:ascii="Consolas" w:cs="Consolas" w:eastAsia="Consolas" w:hAnsi="Consolas"/>
        </w:rPr>
        <w:t xml:space="preserve">{{ measure.due_date | date="JJ/MM/AAAA" }}</w:t>
      </w:r>
      <w:r>
        <w:t xml:space="preserve"> · </w:t>
      </w:r>
      <w:r>
        <w:rPr>
          <w:rFonts w:ascii="Consolas" w:cs="Consolas" w:eastAsia="Consolas" w:hAnsi="Consolas"/>
        </w:rPr>
        <w:t xml:space="preserve">{{ measure.responsible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Aucune mesure en retard.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</w:pPr>
      <w:r>
        <w:t xml:space="preserve">Points de vigilance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filter="criticality_residual='important' or criticality_residual='maximal'" sort="criticality_residual:desc"}}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risk.id }}</w:t>
      </w:r>
      <w:r>
        <w:t xml:space="preserve"> — </w:t>
      </w:r>
      <w:r>
        <w:rPr>
          <w:rFonts w:ascii="Consolas" w:cs="Consolas" w:eastAsia="Consolas" w:hAnsi="Consolas"/>
        </w:rPr>
        <w:t xml:space="preserve">{{ risk.label }}</w:t>
      </w:r>
      <w:r>
        <w:t xml:space="preserve">  </w:t>
      </w:r>
      <w:r>
        <w:rPr>
          <w:rFonts w:ascii="Consolas" w:cs="Consolas" w:eastAsia="Consolas" w:hAnsi="Consolas"/>
        </w:rPr>
        <w:t xml:space="preserve">{{ risk.residual.criticality | badge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résiduel important ou critique restant.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  <w:spacing w:after="160" w:before="340"/>
      </w:pPr>
      <w:r>
        <w:t xml:space="preserve">Objets par type</w:t>
      </w:r>
    </w:p>
    <w:p>
      <w:r>
        <w:t xml:space="preserve">{{ stat type="objects" display="both"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2026-08-19T06:47:58.973Z</dcterms:created>
  <dcterms:modified xsi:type="dcterms:W3CDTF">2026-08-19T06:47:58.973Z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