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Les champs à remplacer sont écrits entre doubles accolades et sont remplacés à la génération (voir le catalogue des mots-clés). Les balises de boucle et de bloc apparaissent en bleu ; les valeurs texte, en police à chasse fixe.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Directive de configuration (non affichée dans le rapport)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Présentation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Matrices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type="initial" title="Risque initial"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type="residual" title="Risque résiduel"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title="Trajectoire" }}</w:t>
      </w:r>
    </w:p>
    <w:p>
      <w:pPr>
        <w:pStyle w:val="Heading1"/>
      </w:pPr>
      <w:r>
        <w:t xml:space="preserve">3. Grille de cotation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4. Registre des risques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Registre construit dans Word (boucle de ligne, triée par criticité initiale décroissante) : les colonnes « Sources » et « Criticité » affichent les étiquettes en badges colorés (| badge). Le tableau auto-généré { table source=risks } est illustré dans le modèle éclaté.</w:t>
      </w:r>
    </w:p>
    <w:tbl>
      <w:tblPr>
        <w:tblW w:type="dxa" w:w="100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800"/>
        <w:gridCol w:w="2400"/>
        <w:gridCol w:w="1400"/>
        <w:gridCol w:w="2400"/>
        <w:gridCol w:w="1500"/>
        <w:gridCol w:w="15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Libellé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Catégorie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Sources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Criticité initiale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Criticité résiduelle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risks sort="criticality_initial:desc"}}</w:t>
            </w:r>
            <w:r>
              <w:rPr>
                <w:rFonts w:ascii="Consolas" w:cs="Consolas" w:eastAsia="Consolas" w:hAnsi="Consolas"/>
              </w:rPr>
              <w:t xml:space="preserve">{{ risk.id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risk.category | default="—"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risk.cf.source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risk.initial.criticality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risk.residual.criticality | badge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5. Mesures de maîtrise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Tableau construit dans Word : la ligne de corps est répétée pour chaque mesure — la balise d'ouverture de boucle est placée au début de la première cellule, la balise de fermeture à la fin de la dernière. La colonne « Statut » est affichée en badge coloré (| badge).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measure.status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6. Détail par risque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sur les risques (triés par criticité initiale décroissante), avec sous-boucle sur leurs mesures.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sort="criticality_initial:desc"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</w:p>
    <w:p>
      <w:r>
        <w:t xml:space="preserve">Catégorie : </w:t>
      </w:r>
      <w:r>
        <w:rPr>
          <w:rFonts w:ascii="Consolas" w:cs="Consolas" w:eastAsia="Consolas" w:hAnsi="Consolas"/>
        </w:rPr>
        <w:t xml:space="preserve">{{ risk.category }}</w:t>
      </w:r>
      <w:r>
        <w:t xml:space="preserve"> · Propriétaire : </w:t>
      </w:r>
      <w:r>
        <w:rPr>
          <w:rFonts w:ascii="Consolas" w:cs="Consolas" w:eastAsia="Consolas" w:hAnsi="Consolas"/>
        </w:rPr>
        <w:t xml:space="preserve">{{ risk.owner | default="—" }}</w:t>
      </w:r>
    </w:p>
    <w:p>
      <w:r>
        <w:t xml:space="preserve">Criticité : </w:t>
      </w:r>
      <w:r>
        <w:rPr>
          <w:rFonts w:ascii="Consolas" w:cs="Consolas" w:eastAsia="Consolas" w:hAnsi="Consolas"/>
        </w:rPr>
        <w:t xml:space="preserve">{{ risk.initial.criticality }}</w:t>
      </w:r>
      <w:r>
        <w:t xml:space="preserve"> → </w:t>
      </w:r>
      <w:r>
        <w:rPr>
          <w:rFonts w:ascii="Consolas" w:cs="Consolas" w:eastAsia="Consolas" w:hAnsi="Consolas"/>
        </w:rPr>
        <w:t xml:space="preserve">{{ risk.residual.criticality }}</w:t>
      </w:r>
      <w:r>
        <w:t xml:space="preserve"> (</w:t>
      </w:r>
      <w:r>
        <w:rPr>
          <w:rFonts w:ascii="Consolas" w:cs="Consolas" w:eastAsia="Consolas" w:hAnsi="Consolas"/>
        </w:rPr>
        <w:t xml:space="preserve">{{ risk.evolution }}</w:t>
      </w:r>
      <w:r>
        <w:t xml:space="preserve">)</w:t>
      </w:r>
    </w:p>
    <w:p>
      <w:r>
        <w:rPr>
          <w:rFonts w:ascii="Consolas" w:cs="Consolas" w:eastAsia="Consolas" w:hAnsi="Consolas"/>
        </w:rPr>
        <w:t xml:space="preserve">{{ risk.description }}</w:t>
      </w:r>
    </w:p>
    <w:p>
      <w:r>
        <w:t xml:space="preserve">Mesures de maîtrise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risk.measures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7. Profil par source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radar dimension="cf.source" metric="average" evaluation="overlay" title="Criticité moyenne par source" 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2026-08-14T11:12:37.745Z</dcterms:created>
  <dcterms:modified xsi:type="dcterms:W3CDTF">2026-08-14T11:12:37.745Z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