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color w:val="8A94A6"/>
          <w:sz w:val="24"/>
          <w:szCs w:val="24"/>
        </w:rPr>
        <w:t xml:space="preserve">Référentiels de l'analyse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Les champs à remplacer sont écrits entre doubles accolades et sont remplacés à la génération (voir le catalogue des mots-clés). Les balises de boucle et de bloc apparaissent en bleu ; les valeurs texte, en police à chasse fixe.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Directive de configuration (non affichée dans le rapport)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Informations sur l'analyse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Toutes les métadonnées de l'analyse, y compris la référence méthodologique.</w:t>
      </w:r>
    </w:p>
    <w:p>
      <w:r>
        <w:t xml:space="preserve">Titre : </w:t>
      </w:r>
      <w:r>
        <w:rPr>
          <w:rFonts w:ascii="Consolas" w:cs="Consolas" w:eastAsia="Consolas" w:hAnsi="Consolas"/>
        </w:rPr>
        <w:t xml:space="preserve">{{ analysis.title }}</w:t>
      </w:r>
    </w:p>
    <w:p>
      <w:r>
        <w:t xml:space="preserve">Organisation : </w:t>
      </w:r>
      <w:r>
        <w:rPr>
          <w:rFonts w:ascii="Consolas" w:cs="Consolas" w:eastAsia="Consolas" w:hAnsi="Consolas"/>
        </w:rPr>
        <w:t xml:space="preserve">{{ analysis.organization | default="—" }}</w:t>
      </w:r>
      <w:r>
        <w:t xml:space="preserve"> · Auteur : </w:t>
      </w:r>
      <w:r>
        <w:rPr>
          <w:rFonts w:ascii="Consolas" w:cs="Consolas" w:eastAsia="Consolas" w:hAnsi="Consolas"/>
        </w:rPr>
        <w:t xml:space="preserve">{{ analysis.author | default="—"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| default="—" }}</w:t>
      </w:r>
    </w:p>
    <w:p>
      <w:r>
        <w:t xml:space="preserve">Référence méthodologique : </w:t>
      </w:r>
      <w:r>
        <w:rPr>
          <w:rFonts w:ascii="Consolas" w:cs="Consolas" w:eastAsia="Consolas" w:hAnsi="Consolas"/>
        </w:rPr>
        <w:t xml:space="preserve">{{ analysis.reference | default="—" }}</w:t>
      </w:r>
    </w:p>
    <w:p>
      <w:r>
        <w:t xml:space="preserve">Révision : </w:t>
      </w:r>
      <w:r>
        <w:rPr>
          <w:rFonts w:ascii="Consolas" w:cs="Consolas" w:eastAsia="Consolas" w:hAnsi="Consolas"/>
        </w:rPr>
        <w:t xml:space="preserve">{{ analysis.revision | default="—" }}</w:t>
      </w:r>
      <w:r>
        <w:t xml:space="preserve"> · Statut :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Langue : </w:t>
      </w:r>
      <w:r>
        <w:rPr>
          <w:rFonts w:ascii="Consolas" w:cs="Consolas" w:eastAsia="Consolas" w:hAnsi="Consolas"/>
        </w:rPr>
        <w:t xml:space="preserve">{{ analysis.language }}</w:t>
      </w:r>
    </w:p>
    <w:p>
      <w:r>
        <w:t xml:space="preserve">Créée le : </w:t>
      </w:r>
      <w:r>
        <w:rPr>
          <w:rFonts w:ascii="Consolas" w:cs="Consolas" w:eastAsia="Consolas" w:hAnsi="Consolas"/>
        </w:rPr>
        <w:t xml:space="preserve">{{ analysis.created | date="long" }}</w:t>
      </w:r>
      <w:r>
        <w:t xml:space="preserve"> · Mise à jour le :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t xml:space="preserve">Description :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Grille de cotation</w:t>
      </w:r>
    </w:p>
    <w:p>
      <w:r>
        <w:t xml:space="preserve">Méthode de calcul du score : </w:t>
      </w:r>
      <w:r>
        <w:rPr>
          <w:rFonts w:ascii="Consolas" w:cs="Consolas" w:eastAsia="Consolas" w:hAnsi="Consolas"/>
        </w:rPr>
        <w:t xml:space="preserve">{{ grid.method }}</w:t>
      </w:r>
    </w:p>
    <w:p>
      <w:pPr>
        <w:pStyle w:val="Heading2"/>
      </w:pPr>
      <w:r>
        <w:t xml:space="preserve">Échelle de vraisemblance — </w:t>
      </w:r>
      <w:r>
        <w:rPr>
          <w:rFonts w:ascii="Consolas" w:cs="Consolas" w:eastAsia="Consolas" w:hAnsi="Consolas"/>
        </w:rPr>
        <w:t xml:space="preserve">{{ grid.vertical_axis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Table construite dans Word : la ligne de corps est répétée pour chaque niveau de l'échelle (balise d'ouverture au début de la première cellule, fermeture à la fin de la dernière).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100"/>
        <w:gridCol w:w="3200"/>
        <w:gridCol w:w="59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Valeur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Niveau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grid.vertical_axis.levels}}</w:t>
            </w:r>
            <w:r>
              <w:rPr>
                <w:rFonts w:ascii="Consolas" w:cs="Consolas" w:eastAsia="Consolas" w:hAnsi="Consolas"/>
              </w:rPr>
              <w:t xml:space="preserve">{{ step.value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step.label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step.description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2"/>
      </w:pPr>
      <w:r>
        <w:t xml:space="preserve">Échelle de gravité — </w:t>
      </w:r>
      <w:r>
        <w:rPr>
          <w:rFonts w:ascii="Consolas" w:cs="Consolas" w:eastAsia="Consolas" w:hAnsi="Consolas"/>
        </w:rPr>
        <w:t xml:space="preserve">{{ grid.horizontal_axis }}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1100"/>
        <w:gridCol w:w="3200"/>
        <w:gridCol w:w="59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Valeur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Niveau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grid.horizontal_axis.levels}}</w:t>
            </w:r>
            <w:r>
              <w:rPr>
                <w:rFonts w:ascii="Consolas" w:cs="Consolas" w:eastAsia="Consolas" w:hAnsi="Consolas"/>
              </w:rPr>
              <w:t xml:space="preserve">{{ step.value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step.label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step.description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2"/>
      </w:pPr>
      <w:r>
        <w:t xml:space="preserve">Niveaux de criticité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3. Champs personnalisés — tableaux récapitulatifs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Bloc clé en main : colonnes code, libellé, cible, type, obligatoire, filtrable. Sans attribut, tous les champs ; avec l'attribut target, une seule cible (analysis / risk / measure / link / cotation).</w:t>
      </w:r>
    </w:p>
    <w:p>
      <w:pPr>
        <w:pStyle w:val="Heading2"/>
      </w:pPr>
      <w:r>
        <w:t xml:space="preserve">Tous les champs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}}</w:t>
      </w:r>
    </w:p>
    <w:p>
      <w:pPr>
        <w:pStyle w:val="Heading2"/>
      </w:pPr>
      <w:r>
        <w:t xml:space="preserve">Champs de l'analyse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target="analysis" }}</w:t>
      </w:r>
    </w:p>
    <w:p>
      <w:pPr>
        <w:pStyle w:val="Heading2"/>
      </w:pPr>
      <w:r>
        <w:t xml:space="preserve">Champs des risques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target="risk" }}</w:t>
      </w:r>
    </w:p>
    <w:p>
      <w:pPr>
        <w:pStyle w:val="Heading2"/>
      </w:pPr>
      <w:r>
        <w:t xml:space="preserve">Champs des mesures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target="measure" }}</w:t>
      </w:r>
    </w:p>
    <w:p>
      <w:pPr>
        <w:pStyle w:val="Heading2"/>
      </w:pPr>
      <w:r>
        <w:t xml:space="preserve">Champs des liens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source="custom_fields" target="link" 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La cible « cotation » (champs propres aux cotations de risque) s'utilise de la même façon.</w:t>
      </w:r>
    </w:p>
    <w:p>
      <w:pPr>
        <w:pStyle w:val="Heading1"/>
      </w:pPr>
      <w:r>
        <w:t xml:space="preserve">4. Détail des champs et de leurs valeurs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Boucle sur les champs, triée par cible puis par code (tri multi-clés « target,code »). Pour les champs à valeurs fermées (sélection, cases, étiquettes), sous-boucle sur les valeurs possibles : code, libellé, couleur et description.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custom_fields sort="target,code"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field.label }}</w:t>
      </w:r>
      <w:r>
        <w:t xml:space="preserve"> — </w:t>
      </w:r>
      <w:r>
        <w:rPr>
          <w:rFonts w:ascii="Consolas" w:cs="Consolas" w:eastAsia="Consolas" w:hAnsi="Consolas"/>
        </w:rPr>
        <w:t xml:space="preserve">{{ field.code }}</w:t>
      </w:r>
    </w:p>
    <w:p>
      <w:r>
        <w:t xml:space="preserve">Cible : </w:t>
      </w:r>
      <w:r>
        <w:rPr>
          <w:rFonts w:ascii="Consolas" w:cs="Consolas" w:eastAsia="Consolas" w:hAnsi="Consolas"/>
        </w:rPr>
        <w:t xml:space="preserve">{{ field.target }}</w:t>
      </w:r>
      <w:r>
        <w:t xml:space="preserve"> · Type : </w:t>
      </w:r>
      <w:r>
        <w:rPr>
          <w:rFonts w:ascii="Consolas" w:cs="Consolas" w:eastAsia="Consolas" w:hAnsi="Consolas"/>
        </w:rPr>
        <w:t xml:space="preserve">{{ field.type }}</w:t>
      </w:r>
      <w:r>
        <w:t xml:space="preserve"> · Obligatoire : </w:t>
      </w:r>
      <w:r>
        <w:rPr>
          <w:rFonts w:ascii="Consolas" w:cs="Consolas" w:eastAsia="Consolas" w:hAnsi="Consolas"/>
        </w:rPr>
        <w:t xml:space="preserve">{{ field.required }}</w:t>
      </w:r>
      <w:r>
        <w:t xml:space="preserve"> · Filtre : </w:t>
      </w:r>
      <w:r>
        <w:rPr>
          <w:rFonts w:ascii="Consolas" w:cs="Consolas" w:eastAsia="Consolas" w:hAnsi="Consolas"/>
        </w:rPr>
        <w:t xml:space="preserve">{{ field.filterable }}</w:t>
      </w:r>
    </w:p>
    <w:p>
      <w:r>
        <w:t xml:space="preserve">Aide : </w:t>
      </w:r>
      <w:r>
        <w:rPr>
          <w:rFonts w:ascii="Consolas" w:cs="Consolas" w:eastAsia="Consolas" w:hAnsi="Consolas"/>
        </w:rPr>
        <w:t xml:space="preserve">{{ field.help | default="—" }}</w:t>
      </w:r>
    </w:p>
    <w:p>
      <w:r>
        <w:t xml:space="preserve">Description : </w:t>
      </w:r>
      <w:r>
        <w:rPr>
          <w:rFonts w:ascii="Consolas" w:cs="Consolas" w:eastAsia="Consolas" w:hAnsi="Consolas"/>
        </w:rPr>
        <w:t xml:space="preserve">{{ field.description | default="—" }}</w:t>
      </w:r>
    </w:p>
    <w:p>
      <w:r>
        <w:t xml:space="preserve">Valeurs possibles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field.items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option.code }}</w:t>
      </w:r>
      <w:r>
        <w:t xml:space="preserve"> — </w:t>
      </w:r>
      <w:r>
        <w:rPr>
          <w:rFonts w:ascii="Consolas" w:cs="Consolas" w:eastAsia="Consolas" w:hAnsi="Consolas"/>
        </w:rPr>
        <w:t xml:space="preserve">{{ option.label }}</w:t>
      </w:r>
      <w:r>
        <w:t xml:space="preserve"> (</w:t>
      </w:r>
      <w:r>
        <w:rPr>
          <w:rFonts w:ascii="Consolas" w:cs="Consolas" w:eastAsia="Consolas" w:hAnsi="Consolas"/>
        </w:rPr>
        <w:t xml:space="preserve">{{ option.color | swatch }}</w:t>
      </w:r>
      <w:r>
        <w:t xml:space="preserve"> </w:t>
      </w:r>
      <w:r>
        <w:rPr>
          <w:rFonts w:ascii="Consolas" w:cs="Consolas" w:eastAsia="Consolas" w:hAnsi="Consolas"/>
        </w:rPr>
        <w:t xml:space="preserve">{{ option.color }}</w:t>
      </w:r>
      <w:r>
        <w:t xml:space="preserve">) : </w:t>
      </w:r>
      <w:r>
        <w:rPr>
          <w:rFonts w:ascii="Consolas" w:cs="Consolas" w:eastAsia="Consolas" w:hAnsi="Consolas"/>
        </w:rPr>
        <w:t xml:space="preserve">{{ option.description | default="—"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spacing w:after="60" w:before="60"/>
      </w:pPr>
      <w:r>
        <w:rPr>
          <w:i/>
          <w:iCs/>
          <w:color w:val="8A94A6"/>
          <w:sz w:val="18"/>
          <w:szCs w:val="18"/>
        </w:rPr>
        <w:t xml:space="preserve">Même présentation qu'au rapport (« Référentiels et légendes des champs ») : tableau Valeur / Description, badge coloré pour les tags. Le bloc n'apparaît que pour les champs à valeurs fermées (sélection / cases / étiquettes) dont au moins une valeur porte une description.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field_values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2026-08-14T11:12:37.748Z</dcterms:created>
  <dcterms:modified xsi:type="dcterms:W3CDTF">2026-08-14T11:12:37.748Z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