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onsolas" w:cs="Consolas" w:eastAsia="Consolas" w:hAnsi="Consolas"/>
        </w:rPr>
        <w:t xml:space="preserve">{{ analysis.title }}</w:t>
      </w:r>
    </w:p>
    <w:p>
      <w:r>
        <w:rPr>
          <w:rFonts w:ascii="Consolas" w:cs="Consolas" w:eastAsia="Consolas" w:hAnsi="Consolas"/>
        </w:rPr>
        <w:t xml:space="preserve">{{ analysis.organization }}</w:t>
      </w:r>
      <w:r>
        <w:t xml:space="preserve"> — </w:t>
      </w:r>
      <w:r>
        <w:rPr>
          <w:rFonts w:ascii="Consolas" w:cs="Consolas" w:eastAsia="Consolas" w:hAnsi="Consolas"/>
        </w:rPr>
        <w:t xml:space="preserve">{{ analysis.author }}</w:t>
      </w:r>
    </w:p>
    <w:p>
      <w:r>
        <w:t xml:space="preserve">Périmètre : </w:t>
      </w:r>
      <w:r>
        <w:rPr>
          <w:rFonts w:ascii="Consolas" w:cs="Consolas" w:eastAsia="Consolas" w:hAnsi="Consolas"/>
        </w:rPr>
        <w:t xml:space="preserve">{{ analysis.scope }}</w:t>
      </w:r>
    </w:p>
    <w:p>
      <w:r>
        <w:t xml:space="preserve">Version </w:t>
      </w:r>
      <w:r>
        <w:rPr>
          <w:rFonts w:ascii="Consolas" w:cs="Consolas" w:eastAsia="Consolas" w:hAnsi="Consolas"/>
        </w:rPr>
        <w:t xml:space="preserve">{{ analysis.revision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analysis.status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Les champs à remplacer sont écrits entre doubles accolades et sont remplacés à la génération (voir le catalogue des mots-clés). Les balises de boucle et de bloc apparaissent en bleu ; les valeurs texte, en police à chasse fixe.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Directive de configuration (non affichée dans le rapport) :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report date_format="JJ/MM/AAAA" }}</w:t>
      </w:r>
    </w:p>
    <w:p>
      <w:r>
        <w:br w:type="page"/>
      </w:r>
    </w:p>
    <w:p>
      <w:pPr>
        <w:pStyle w:val="Heading1"/>
      </w:pPr>
      <w:r>
        <w:t xml:space="preserve">1. Présentation</w:t>
      </w:r>
    </w:p>
    <w:p>
      <w:r>
        <w:rPr>
          <w:rFonts w:ascii="Consolas" w:cs="Consolas" w:eastAsia="Consolas" w:hAnsi="Consolas"/>
        </w:rPr>
        <w:t xml:space="preserve">{{ analysis.description }}</w:t>
      </w:r>
    </w:p>
    <w:p>
      <w:pPr>
        <w:pStyle w:val="Heading1"/>
      </w:pPr>
      <w:r>
        <w:t xml:space="preserve">2. Matrices de risque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type="initial" title="Risque initial"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type="residual" title="Risque résiduel"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type="trajectory" title="Trajectoire" }}</w:t>
      </w:r>
    </w:p>
    <w:p>
      <w:pPr>
        <w:pStyle w:val="Heading1"/>
      </w:pPr>
      <w:r>
        <w:t xml:space="preserve">3. Grille de cotation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source="levels" }}</w:t>
      </w:r>
    </w:p>
    <w:p>
      <w:pPr>
        <w:pStyle w:val="Heading1"/>
      </w:pPr>
      <w:r>
        <w:t xml:space="preserve">4. Registre des risques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Registre construit dans Word (boucle de ligne, triée par criticité initiale décroissante) : les colonnes « Sources » et « Criticité » affichent les étiquettes en badges colorés (| badge). Le tableau auto-généré { table source=risks } est illustré dans le modèle éclaté.</w:t>
      </w:r>
    </w:p>
    <w:tbl>
      <w:tblPr>
        <w:tblW w:type="dxa" w:w="10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800"/>
        <w:gridCol w:w="2400"/>
        <w:gridCol w:w="1400"/>
        <w:gridCol w:w="2400"/>
        <w:gridCol w:w="1500"/>
        <w:gridCol w:w="15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Libellé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Catégorie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Sources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Criticité initiale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Criticité résiduelle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risks sort="criticality_initial:desc"}}</w:t>
            </w:r>
            <w:r>
              <w:rPr>
                <w:rFonts w:ascii="Consolas" w:cs="Consolas" w:eastAsia="Consolas" w:hAnsi="Consolas"/>
              </w:rPr>
              <w:t xml:space="preserve">{{ risk.id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risk.label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risk.category | default="—"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risk.cf.source | badge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risk.initial.criticality | badge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risk.residual.criticality | badge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1"/>
      </w:pPr>
      <w:r>
        <w:t xml:space="preserve">5. Mesures de maîtrise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Tableau construit dans Word : la ligne de corps est répétée pour chaque mesure — la balise d'ouverture de boucle est placée au début de la première cellule, la balise de fermeture à la fin de la dernière. La colonne « Statut » est affichée en badge coloré (| badge).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900"/>
        <w:gridCol w:w="3000"/>
        <w:gridCol w:w="1500"/>
        <w:gridCol w:w="1500"/>
        <w:gridCol w:w="1900"/>
        <w:gridCol w:w="14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Mesure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Échéance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measures}}</w:t>
            </w:r>
            <w:r>
              <w:rPr>
                <w:rFonts w:ascii="Consolas" w:cs="Consolas" w:eastAsia="Consolas" w:hAnsi="Consolas"/>
              </w:rPr>
              <w:t xml:space="preserve">{{ measure.id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measure.type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measure.status | badge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measure.responsible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measure.due_date | date="JJ/MM/AAAA"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1"/>
      </w:pPr>
      <w:r>
        <w:t xml:space="preserve">6. Détail par risque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Boucle sur les risques (triés par criticité initiale décroissante), avec sous-boucle sur leurs mesures.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sort="criticality_initial:desc" }}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{{ risk.id }}</w:t>
      </w:r>
      <w:r>
        <w:t xml:space="preserve"> — </w:t>
      </w:r>
      <w:r>
        <w:rPr>
          <w:rFonts w:ascii="Consolas" w:cs="Consolas" w:eastAsia="Consolas" w:hAnsi="Consolas"/>
        </w:rPr>
        <w:t xml:space="preserve">{{ risk.label }}</w:t>
      </w:r>
    </w:p>
    <w:p>
      <w:r>
        <w:t xml:space="preserve">Catégorie : </w:t>
      </w:r>
      <w:r>
        <w:rPr>
          <w:rFonts w:ascii="Consolas" w:cs="Consolas" w:eastAsia="Consolas" w:hAnsi="Consolas"/>
        </w:rPr>
        <w:t xml:space="preserve">{{ risk.category }}</w:t>
      </w:r>
      <w:r>
        <w:t xml:space="preserve"> · Propriétaire : </w:t>
      </w:r>
      <w:r>
        <w:rPr>
          <w:rFonts w:ascii="Consolas" w:cs="Consolas" w:eastAsia="Consolas" w:hAnsi="Consolas"/>
        </w:rPr>
        <w:t xml:space="preserve">{{ risk.owner | default="—" }}</w:t>
      </w:r>
    </w:p>
    <w:p>
      <w:r>
        <w:t xml:space="preserve">Criticité : </w:t>
      </w:r>
      <w:r>
        <w:rPr>
          <w:rFonts w:ascii="Consolas" w:cs="Consolas" w:eastAsia="Consolas" w:hAnsi="Consolas"/>
        </w:rPr>
        <w:t xml:space="preserve">{{ risk.initial.criticality }}</w:t>
      </w:r>
      <w:r>
        <w:t xml:space="preserve"> → </w:t>
      </w:r>
      <w:r>
        <w:rPr>
          <w:rFonts w:ascii="Consolas" w:cs="Consolas" w:eastAsia="Consolas" w:hAnsi="Consolas"/>
        </w:rPr>
        <w:t xml:space="preserve">{{ risk.residual.criticality }}</w:t>
      </w:r>
      <w:r>
        <w:t xml:space="preserve"> (</w:t>
      </w:r>
      <w:r>
        <w:rPr>
          <w:rFonts w:ascii="Consolas" w:cs="Consolas" w:eastAsia="Consolas" w:hAnsi="Consolas"/>
        </w:rPr>
        <w:t xml:space="preserve">{{ risk.evolution }}</w:t>
      </w:r>
      <w:r>
        <w:t xml:space="preserve">)</w:t>
      </w:r>
    </w:p>
    <w:p>
      <w:r>
        <w:rPr>
          <w:rFonts w:ascii="Consolas" w:cs="Consolas" w:eastAsia="Consolas" w:hAnsi="Consolas"/>
        </w:rPr>
        <w:t xml:space="preserve">{{ risk.description }}</w:t>
      </w:r>
    </w:p>
    <w:p>
      <w:r>
        <w:t xml:space="preserve">Mesures de maîtrise :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risk.measures }}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{{ measure.label }}</w:t>
      </w:r>
      <w:r>
        <w:t xml:space="preserve"> (</w:t>
      </w:r>
      <w:r>
        <w:rPr>
          <w:rFonts w:ascii="Consolas" w:cs="Consolas" w:eastAsia="Consolas" w:hAnsi="Consolas"/>
        </w:rPr>
        <w:t xml:space="preserve">{{ measure.status }}</w:t>
      </w:r>
      <w:r>
        <w:t xml:space="preserve">)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pPr>
        <w:pStyle w:val="Heading1"/>
      </w:pPr>
      <w:r>
        <w:t xml:space="preserve">7. Profil par source de risque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radar dimension="cf.source" metric="average" evaluation="overlay" title="Criticité moyenne par source"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widowControl/>
        <w:spacing w:after="140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220" w:before="120"/>
    </w:pPr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4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2026-08-15T13:51:52.550Z</dcterms:created>
  <dcterms:modified xsi:type="dcterms:W3CDTF">2026-08-15T13:51:52.550Z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