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Tableau de bord des risques</w:t>
      </w:r>
    </w:p>
    <w:p>
      <w:r>
        <w:rPr>
          <w:rFonts w:ascii="Consolas" w:cs="Consolas" w:eastAsia="Consolas" w:hAnsi="Consolas"/>
        </w:rPr>
        <w:t xml:space="preserve">{{ analysis.title }}</w:t>
      </w:r>
      <w:r>
        <w:t xml:space="preserve"> · </w:t>
      </w:r>
      <w:r>
        <w:rPr>
          <w:rFonts w:ascii="Consolas" w:cs="Consolas" w:eastAsia="Consolas" w:hAnsi="Consolas"/>
        </w:rPr>
        <w:t xml:space="preserve">{{ analysis.organization }}</w:t>
      </w:r>
      <w:r>
        <w:t xml:space="preserve"> · mise à jour </w:t>
      </w:r>
      <w:r>
        <w:rPr>
          <w:rFonts w:ascii="Consolas" w:cs="Consolas" w:eastAsia="Consolas" w:hAnsi="Consolas"/>
        </w:rPr>
        <w:t xml:space="preserve">{{ analysis.updated | date="long" }}</w:t>
      </w:r>
    </w:p>
    <w:p>
      <w:pPr>
        <w:spacing w:after="60" w:before="60"/>
      </w:pPr>
      <w:r>
        <w:rPr>
          <w:i/>
          <w:iCs/>
          <w:color w:val="8A94A6"/>
          <w:sz w:val="18"/>
          <w:szCs w:val="18"/>
        </w:rPr>
        <w:t xml:space="preserve">Modèle « tableau de bord » (v2) : blocs statistiques (compteurs, couverture, graphiques) et sections conditionnelles. Aucune donnée saisie ici — tout est calculé à la génération.</w:t>
      </w:r>
    </w:p>
    <w:p>
      <w:pPr>
        <w:pStyle w:val="Heading1"/>
      </w:pPr>
      <w:r>
        <w:t xml:space="preserve">Chiffres clés</w:t>
      </w:r>
    </w:p>
    <w:p>
      <w:pPr>
        <w:spacing w:after="60" w:before="60"/>
      </w:pPr>
      <w:r>
        <w:rPr>
          <w:i/>
          <w:iCs/>
          <w:color w:val="8A94A6"/>
          <w:sz w:val="18"/>
          <w:szCs w:val="18"/>
        </w:rPr>
        <w:t xml:space="preserve">Tuiles clés : Risques · Mesures · Risques réduits · % traité.</w:t>
      </w:r>
    </w:p>
    <w:p>
      <w:r>
        <w:rPr>
          <w:rFonts w:ascii="Consolas" w:cs="Consolas" w:eastAsia="Consolas" w:hAnsi="Consolas"/>
          <w:b/>
          <w:bCs/>
          <w:color w:val="2F5BD0"/>
        </w:rPr>
        <w:t xml:space="preserve">{{ stat type="counters" }}</w:t>
      </w:r>
    </w:p>
    <w:p>
      <w:pPr>
        <w:spacing w:after="60" w:before="60"/>
      </w:pPr>
      <w:r>
        <w:rPr>
          <w:i/>
          <w:iCs/>
          <w:color w:val="8A94A6"/>
          <w:sz w:val="18"/>
          <w:szCs w:val="18"/>
        </w:rPr>
        <w:t xml:space="preserve">Condition de niveau bloc : chaque balise {{#if}} / {{else}} / {{/if}} est SEULE sur son paragraphe.</w:t>
      </w:r>
    </w:p>
    <w:p>
      <w:r>
        <w:rPr>
          <w:rFonts w:ascii="Consolas" w:cs="Consolas" w:eastAsia="Consolas" w:hAnsi="Consolas"/>
          <w:b/>
          <w:bCs/>
          <w:color w:val="2F5BD0"/>
        </w:rPr>
        <w:t xml:space="preserve">{{#if analysis.reduced_count &gt; "0"}}</w:t>
      </w:r>
    </w:p>
    <w:p>
      <w:r>
        <w:rPr>
          <w:rFonts w:ascii="Consolas" w:cs="Consolas" w:eastAsia="Consolas" w:hAnsi="Consolas"/>
        </w:rPr>
        <w:t xml:space="preserve">{{ analysis.reduced_count }}</w:t>
      </w:r>
      <w:r>
        <w:t xml:space="preserve"> risque(s) réduit(s) sur </w:t>
      </w:r>
      <w:r>
        <w:rPr>
          <w:rFonts w:ascii="Consolas" w:cs="Consolas" w:eastAsia="Consolas" w:hAnsi="Consolas"/>
        </w:rPr>
        <w:t xml:space="preserve">{{ analysis.risks_count }}</w:t>
      </w:r>
      <w:r>
        <w:t xml:space="preserve"> — la maîtrise progresse.</w:t>
      </w:r>
    </w:p>
    <w:p>
      <w:r>
        <w:rPr>
          <w:rFonts w:ascii="Consolas" w:cs="Consolas" w:eastAsia="Consolas" w:hAnsi="Consolas"/>
          <w:b/>
          <w:bCs/>
          <w:color w:val="2F5BD0"/>
        </w:rPr>
        <w:t xml:space="preserve">{{else}}</w:t>
      </w:r>
    </w:p>
    <w:p>
      <w:r>
        <w:t xml:space="preserve">Aucun risque n'a encore été réduit entre l'initial et le résiduel.</w:t>
      </w:r>
    </w:p>
    <w:p>
      <w:r>
        <w:rPr>
          <w:rFonts w:ascii="Consolas" w:cs="Consolas" w:eastAsia="Consolas" w:hAnsi="Consolas"/>
          <w:b/>
          <w:bCs/>
          <w:color w:val="2F5BD0"/>
        </w:rPr>
        <w:t xml:space="preserve">{{/if}}</w:t>
      </w:r>
    </w:p>
    <w:p>
      <w:pPr>
        <w:pStyle w:val="Heading1"/>
      </w:pPr>
      <w:r>
        <w:t xml:space="preserve">Couverture du traitement</w:t>
      </w:r>
    </w:p>
    <w:p>
      <w:r>
        <w:rPr>
          <w:rFonts w:ascii="Consolas" w:cs="Consolas" w:eastAsia="Consolas" w:hAnsi="Consolas"/>
          <w:b/>
          <w:bCs/>
          <w:color w:val="2F5BD0"/>
        </w:rPr>
        <w:t xml:space="preserve">{{ stat type="coverage" }}</w:t>
      </w:r>
    </w:p>
    <w:p>
      <w:pPr>
        <w:spacing w:after="60" w:before="60"/>
      </w:pPr>
      <w:r>
        <w:rPr>
          <w:i/>
          <w:iCs/>
          <w:color w:val="8A94A6"/>
          <w:sz w:val="18"/>
          <w:szCs w:val="18"/>
        </w:rPr>
        <w:t xml:space="preserve">Condition {{#unless}} : le message ne s'affiche que si aucun lien n'est défini.</w:t>
      </w:r>
    </w:p>
    <w:p>
      <w:r>
        <w:rPr>
          <w:rFonts w:ascii="Consolas" w:cs="Consolas" w:eastAsia="Consolas" w:hAnsi="Consolas"/>
          <w:b/>
          <w:bCs/>
          <w:color w:val="2F5BD0"/>
        </w:rPr>
        <w:t xml:space="preserve">{{#unless analysis.links_count &gt; "0"}}</w:t>
      </w:r>
    </w:p>
    <w:p>
      <w:r>
        <w:t xml:space="preserve">⚠ Aucun lien risque↔mesure n'est défini : la couverture ne peut pas être évaluée.</w:t>
      </w:r>
    </w:p>
    <w:p>
      <w:r>
        <w:rPr>
          <w:rFonts w:ascii="Consolas" w:cs="Consolas" w:eastAsia="Consolas" w:hAnsi="Consolas"/>
          <w:b/>
          <w:bCs/>
          <w:color w:val="2F5BD0"/>
        </w:rPr>
        <w:t xml:space="preserve">{{/unless}}</w:t>
      </w:r>
    </w:p>
    <w:p>
      <w:pPr>
        <w:pStyle w:val="Heading1"/>
      </w:pPr>
      <w:r>
        <w:t xml:space="preserve">Criticité — initial vs résiduel</w:t>
      </w:r>
    </w:p>
    <w:p>
      <w:pPr>
        <w:spacing w:after="60" w:before="60"/>
      </w:pPr>
      <w:r>
        <w:rPr>
          <w:i/>
          <w:iCs/>
          <w:color w:val="8A94A6"/>
          <w:sz w:val="18"/>
          <w:szCs w:val="18"/>
        </w:rPr>
        <w:t xml:space="preserve">display="both" : les deux graphiques (Initial / Résiduel) puis le tableau, centrés.</w:t>
      </w:r>
    </w:p>
    <w:p>
      <w:r>
        <w:rPr>
          <w:rFonts w:ascii="Consolas" w:cs="Consolas" w:eastAsia="Consolas" w:hAnsi="Consolas"/>
          <w:b/>
          <w:bCs/>
          <w:color w:val="2F5BD0"/>
        </w:rPr>
        <w:t xml:space="preserve">{{ stat type="criticality" display="both" shape="donut" }}</w:t>
      </w:r>
    </w:p>
    <w:p>
      <w:pPr>
        <w:pStyle w:val="Heading1"/>
      </w:pPr>
      <w:r>
        <w:t xml:space="preserve">Répartition des risques par catégorie</w:t>
      </w:r>
    </w:p>
    <w:p>
      <w:pPr>
        <w:spacing w:after="60" w:before="60"/>
      </w:pPr>
      <w:r>
        <w:rPr>
          <w:i/>
          <w:iCs/>
          <w:color w:val="8A94A6"/>
          <w:sz w:val="18"/>
          <w:szCs w:val="18"/>
        </w:rPr>
        <w:t xml:space="preserve">display="chart" : graphique + légende sur une même ligne, centrés.</w:t>
      </w:r>
    </w:p>
    <w:p>
      <w:r>
        <w:rPr>
          <w:rFonts w:ascii="Consolas" w:cs="Consolas" w:eastAsia="Consolas" w:hAnsi="Consolas"/>
          <w:b/>
          <w:bCs/>
          <w:color w:val="2F5BD0"/>
        </w:rPr>
        <w:t xml:space="preserve">{{ stat type="category" display="chart" shape="pie" }}</w:t>
      </w:r>
    </w:p>
    <w:p>
      <w:pPr>
        <w:pStyle w:val="Heading1"/>
      </w:pPr>
      <w:r>
        <w:t xml:space="preserve">Avancement des mesures</w:t>
      </w:r>
    </w:p>
    <w:p>
      <w:r>
        <w:rPr>
          <w:rFonts w:ascii="Consolas" w:cs="Consolas" w:eastAsia="Consolas" w:hAnsi="Consolas"/>
          <w:b/>
          <w:bCs/>
          <w:color w:val="2F5BD0"/>
        </w:rPr>
        <w:t xml:space="preserve">{{ stat type="measure_status" display="both" shape="donut" }}</w:t>
      </w:r>
    </w:p>
    <w:p>
      <w:r>
        <w:br w:type="page"/>
      </w:r>
    </w:p>
    <w:p>
      <w:pPr>
        <w:pStyle w:val="Heading1"/>
      </w:pPr>
      <w:r>
        <w:t xml:space="preserve">Suivi des échéances</w:t>
      </w:r>
    </w:p>
    <w:p>
      <w:pPr>
        <w:spacing w:after="60" w:before="60"/>
      </w:pPr>
      <w:r>
        <w:rPr>
          <w:i/>
          <w:iCs/>
          <w:color w:val="8A94A6"/>
          <w:sz w:val="18"/>
          <w:szCs w:val="18"/>
        </w:rPr>
        <w:t xml:space="preserve">Boucle de LIGNE de tableau : la ligne de corps se répète pour chaque mesure ; statut en badge coloré et mention « En retard » (rouge) si l'échéance est dépassée (condition EN LIGNE dans la cellule).</w:t>
      </w:r>
    </w:p>
    <w:tbl>
      <w:tblPr>
        <w:tblW w:type="dxa" w:w="10200"/>
        <w:tblBorders>
          <w:top w:val="single" w:color="C9D3E0" w:sz="4"/>
          <w:left w:val="single" w:color="C9D3E0" w:sz="4"/>
          <w:bottom w:val="single" w:color="C9D3E0" w:sz="4"/>
          <w:right w:val="single" w:color="C9D3E0" w:sz="4"/>
          <w:insideH w:val="single" w:color="C9D3E0" w:sz="4"/>
          <w:insideV w:val="single" w:color="C9D3E0" w:sz="4"/>
        </w:tblBorders>
      </w:tblPr>
      <w:tblGrid>
        <w:gridCol w:w="900"/>
        <w:gridCol w:w="3000"/>
        <w:gridCol w:w="1500"/>
        <w:gridCol w:w="1500"/>
        <w:gridCol w:w="1900"/>
        <w:gridCol w:w="1400"/>
      </w:tblGrid>
      <w:tr>
        <w:trPr>
          <w:tblHeader/>
        </w:trPr>
        <w:tc>
          <w:tcPr>
            <w:tcW w:type="auto" w:w="0"/>
            <w:shd w:fill="EEF2F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auto" w:w="0"/>
            <w:shd w:fill="EEF2F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Mesure</w:t>
            </w:r>
          </w:p>
        </w:tc>
        <w:tc>
          <w:tcPr>
            <w:tcW w:type="auto" w:w="0"/>
            <w:shd w:fill="EEF2F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Type</w:t>
            </w:r>
          </w:p>
        </w:tc>
        <w:tc>
          <w:tcPr>
            <w:tcW w:type="auto" w:w="0"/>
            <w:shd w:fill="EEF2F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Statut</w:t>
            </w:r>
          </w:p>
        </w:tc>
        <w:tc>
          <w:tcPr>
            <w:tcW w:type="auto" w:w="0"/>
            <w:shd w:fill="EEF2F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Responsable</w:t>
            </w:r>
          </w:p>
        </w:tc>
        <w:tc>
          <w:tcPr>
            <w:tcW w:type="auto" w:w="0"/>
            <w:shd w:fill="EEF2F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Échéance</w:t>
            </w:r>
          </w:p>
        </w:tc>
      </w:tr>
      <w:tr>
        <w:tc>
          <w:tcPr>
            <w:tcW w:type="auto" w:w="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/>
                <w:bCs/>
                <w:color w:val="2F5BD0"/>
              </w:rPr>
              <w:t xml:space="preserve">{{#each measures sort="due_date"}}</w:t>
            </w:r>
            <w:r>
              <w:rPr>
                <w:rFonts w:ascii="Consolas" w:cs="Consolas" w:eastAsia="Consolas" w:hAnsi="Consolas"/>
              </w:rPr>
              <w:t xml:space="preserve">{{ measure.id }}</w:t>
            </w:r>
          </w:p>
        </w:tc>
        <w:tc>
          <w:tcPr>
            <w:tcW w:type="auto" w:w="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</w:rPr>
              <w:t xml:space="preserve">{{ measure.label }}</w:t>
            </w:r>
          </w:p>
        </w:tc>
        <w:tc>
          <w:tcPr>
            <w:tcW w:type="auto" w:w="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</w:rPr>
              <w:t xml:space="preserve">{{ measure.type }}</w:t>
            </w:r>
          </w:p>
        </w:tc>
        <w:tc>
          <w:tcPr>
            <w:tcW w:type="auto" w:w="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</w:rPr>
              <w:t xml:space="preserve">{{ measure.status | badge }}</w:t>
            </w:r>
            <w:r>
              <w:rPr>
                <w:rFonts w:ascii="Consolas" w:cs="Consolas" w:eastAsia="Consolas" w:hAnsi="Consolas"/>
                <w:b/>
                <w:bCs/>
                <w:color w:val="C0392B"/>
                <w:sz w:val="18"/>
                <w:szCs w:val="18"/>
              </w:rPr>
              <w:t xml:space="preserve">  {{#if measure.overdue}}En retard{{/if}}</w:t>
            </w:r>
          </w:p>
        </w:tc>
        <w:tc>
          <w:tcPr>
            <w:tcW w:type="auto" w:w="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</w:rPr>
              <w:t xml:space="preserve">{{ measure.responsible }}</w:t>
            </w:r>
          </w:p>
        </w:tc>
        <w:tc>
          <w:tcPr>
            <w:tcW w:type="auto" w:w="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</w:rPr>
              <w:t xml:space="preserve">{{ measure.due_date | date="JJ/MM/AAAA" }}</w:t>
            </w:r>
            <w: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color w:val="2F5BD0"/>
              </w:rPr>
              <w:t xml:space="preserve">{{/each}}</w:t>
            </w:r>
          </w:p>
        </w:tc>
      </w:tr>
    </w:tbl>
    <w:p>
      <w:pPr>
        <w:pStyle w:val="Heading1"/>
      </w:pPr>
      <w:r>
        <w:t xml:space="preserve">Mesures en retard</w:t>
      </w:r>
    </w:p>
    <w:p>
      <w:pPr>
        <w:spacing w:after="60" w:before="60"/>
      </w:pPr>
      <w:r>
        <w:rPr>
          <w:i/>
          <w:iCs/>
          <w:color w:val="8A94A6"/>
          <w:sz w:val="18"/>
          <w:szCs w:val="18"/>
        </w:rPr>
        <w:t xml:space="preserve">Boucle filtrée sur les mesures en retard ; le {{else}} affiche un repli quand la liste est vide.</w:t>
      </w:r>
    </w:p>
    <w:p>
      <w:r>
        <w:rPr>
          <w:rFonts w:ascii="Consolas" w:cs="Consolas" w:eastAsia="Consolas" w:hAnsi="Consolas"/>
          <w:b/>
          <w:bCs/>
          <w:color w:val="2F5BD0"/>
        </w:rPr>
        <w:t xml:space="preserve">{{#each measures filter="overdue='true'" sort="due_date"}}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  <w:color w:val="C0392B"/>
        </w:rPr>
        <w:t xml:space="preserve">⚠ </w:t>
      </w:r>
      <w:r>
        <w:rPr>
          <w:rFonts w:ascii="Consolas" w:cs="Consolas" w:eastAsia="Consolas" w:hAnsi="Consolas"/>
        </w:rPr>
        <w:t xml:space="preserve">{{ measure.id }}</w:t>
      </w:r>
      <w:r>
        <w:t xml:space="preserve"> — </w:t>
      </w:r>
      <w:r>
        <w:rPr>
          <w:rFonts w:ascii="Consolas" w:cs="Consolas" w:eastAsia="Consolas" w:hAnsi="Consolas"/>
        </w:rPr>
        <w:t xml:space="preserve">{{ measure.label }}</w:t>
      </w:r>
      <w:r>
        <w:t xml:space="preserve"> · échéance </w:t>
      </w:r>
      <w:r>
        <w:rPr>
          <w:rFonts w:ascii="Consolas" w:cs="Consolas" w:eastAsia="Consolas" w:hAnsi="Consolas"/>
        </w:rPr>
        <w:t xml:space="preserve">{{ measure.due_date | date="JJ/MM/AAAA" }}</w:t>
      </w:r>
      <w:r>
        <w:t xml:space="preserve"> · </w:t>
      </w:r>
      <w:r>
        <w:rPr>
          <w:rFonts w:ascii="Consolas" w:cs="Consolas" w:eastAsia="Consolas" w:hAnsi="Consolas"/>
        </w:rPr>
        <w:t xml:space="preserve">{{ measure.responsible }}</w:t>
      </w:r>
    </w:p>
    <w:p>
      <w:r>
        <w:rPr>
          <w:rFonts w:ascii="Consolas" w:cs="Consolas" w:eastAsia="Consolas" w:hAnsi="Consolas"/>
          <w:b/>
          <w:bCs/>
          <w:color w:val="2F5BD0"/>
        </w:rPr>
        <w:t xml:space="preserve">{{else}}</w:t>
      </w:r>
    </w:p>
    <w:p>
      <w:r>
        <w:t xml:space="preserve">Aucune mesure en retard.</w:t>
      </w:r>
    </w:p>
    <w:p>
      <w:r>
        <w:rPr>
          <w:rFonts w:ascii="Consolas" w:cs="Consolas" w:eastAsia="Consolas" w:hAnsi="Consolas"/>
          <w:b/>
          <w:bCs/>
          <w:color w:val="2F5BD0"/>
        </w:rPr>
        <w:t xml:space="preserve">{{/each}}</w:t>
      </w:r>
    </w:p>
    <w:p>
      <w:pPr>
        <w:pStyle w:val="Heading1"/>
      </w:pPr>
      <w:r>
        <w:t xml:space="preserve">Points de vigilance</w:t>
      </w:r>
    </w:p>
    <w:p>
      <w:pPr>
        <w:spacing w:after="60" w:before="60"/>
      </w:pPr>
      <w:r>
        <w:rPr>
          <w:i/>
          <w:iCs/>
          <w:color w:val="8A94A6"/>
          <w:sz w:val="18"/>
          <w:szCs w:val="18"/>
        </w:rPr>
        <w:t xml:space="preserve">Boucle filtrée sur la criticité résiduelle (importante ou maximale) ; le {{else}} affiche un repli quand aucun risque ne subsiste à ce niveau.</w:t>
      </w:r>
    </w:p>
    <w:p>
      <w:r>
        <w:rPr>
          <w:rFonts w:ascii="Consolas" w:cs="Consolas" w:eastAsia="Consolas" w:hAnsi="Consolas"/>
          <w:b/>
          <w:bCs/>
          <w:color w:val="2F5BD0"/>
        </w:rPr>
        <w:t xml:space="preserve">{{#each risks filter="criticality_residual='important' or criticality_residual='maximal'" sort="criticality_residual:desc"}}</w:t>
      </w:r>
    </w:p>
    <w:p>
      <w:pPr>
        <w:pStyle w:val="ListParagraph"/>
        <w:numPr>
          <w:ilvl w:val="0"/>
          <w:numId w:val="1"/>
        </w:numPr>
      </w:pPr>
      <w:r>
        <w:rPr>
          <w:rFonts w:ascii="Consolas" w:cs="Consolas" w:eastAsia="Consolas" w:hAnsi="Consolas"/>
        </w:rPr>
        <w:t xml:space="preserve">{{ risk.id }}</w:t>
      </w:r>
      <w:r>
        <w:t xml:space="preserve"> — </w:t>
      </w:r>
      <w:r>
        <w:rPr>
          <w:rFonts w:ascii="Consolas" w:cs="Consolas" w:eastAsia="Consolas" w:hAnsi="Consolas"/>
        </w:rPr>
        <w:t xml:space="preserve">{{ risk.label }}</w:t>
      </w:r>
      <w:r>
        <w:t xml:space="preserve">  </w:t>
      </w:r>
      <w:r>
        <w:rPr>
          <w:rFonts w:ascii="Consolas" w:cs="Consolas" w:eastAsia="Consolas" w:hAnsi="Consolas"/>
        </w:rPr>
        <w:t xml:space="preserve">{{ risk.residual.criticality | badge }}</w:t>
      </w:r>
    </w:p>
    <w:p>
      <w:r>
        <w:rPr>
          <w:rFonts w:ascii="Consolas" w:cs="Consolas" w:eastAsia="Consolas" w:hAnsi="Consolas"/>
          <w:b/>
          <w:bCs/>
          <w:color w:val="2F5BD0"/>
        </w:rPr>
        <w:t xml:space="preserve">{{else}}</w:t>
      </w:r>
    </w:p>
    <w:p>
      <w:r>
        <w:t xml:space="preserve">Aucun risque résiduel important ou critique restant.</w:t>
      </w:r>
    </w:p>
    <w:p>
      <w:r>
        <w:rPr>
          <w:rFonts w:ascii="Consolas" w:cs="Consolas" w:eastAsia="Consolas" w:hAnsi="Consolas"/>
          <w:b/>
          <w:bCs/>
          <w:color w:val="2F5BD0"/>
        </w:rPr>
        <w:t xml:space="preserve">{{/each}}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>
      <w:pPr>
        <w:widowControl/>
        <w:spacing w:after="140"/>
      </w:pPr>
    </w:pPrDefault>
  </w:docDefaults>
  <w:style w:type="paragraph" w:styleId="Title">
    <w:name w:val="Title"/>
    <w:basedOn w:val="Normal"/>
    <w:next w:val="Normal"/>
    <w:qFormat/>
    <w:pPr>
      <w:keepNext/>
      <w:keepLines/>
      <w:spacing w:after="220" w:before="120"/>
    </w:pPr>
    <w:rPr>
      <w:sz w:val="56"/>
      <w:szCs w:val="56"/>
    </w:rPr>
  </w:style>
  <w:style w:type="paragraph" w:styleId="Heading1">
    <w:name w:val="Heading 1"/>
    <w:basedOn w:val="Normal"/>
    <w:next w:val="Normal"/>
    <w:qFormat/>
    <w:pPr>
      <w:keepNext/>
      <w:keepLines/>
      <w:spacing w:after="160" w:before="34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keepLines/>
      <w:spacing w:after="120" w:before="260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2026-08-15T13:51:52.559Z</dcterms:created>
  <dcterms:modified xsi:type="dcterms:W3CDTF">2026-08-15T13:51:52.559Z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