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E11 — chevauchement-conteneurs</w:t>
      </w:r>
    </w:p>
    <w:tbl>
      <w:tblPr>
        <w:tblW w:type="dxa" w:w="9000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</w:tcPr>
          <w:p>
            <w:r>
              <w:t xml:space="preserve">A</w:t>
            </w:r>
          </w:p>
        </w:tc>
        <w:tc>
          <w:tcPr>
            <w:tcW w:type="dxa" w:w="4500"/>
          </w:tcPr>
          <w:p>
            <w:r>
              <w:t xml:space="preserve">B</w:t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b/>
                <w:bCs/>
                <w:color w:val="2F5BD0"/>
              </w:rPr>
              <w:t xml:space="preserve">{{#each risks}}</w:t>
            </w:r>
            <w:r>
              <w:rPr>
                <w:rFonts w:ascii="Consolas" w:cs="Consolas" w:eastAsia="Consolas" w:hAnsi="Consolas"/>
              </w:rPr>
              <w:t xml:space="preserve">{{ risk.id }}</w:t>
            </w:r>
          </w:p>
        </w:tc>
        <w:tc>
          <w:tcPr>
            <w:tcW w:type="dxa" w:w="4500"/>
          </w:tcPr>
          <w:p>
            <w:r>
              <w:t xml:space="preserve">cellule</w:t>
            </w:r>
          </w:p>
        </w:tc>
      </w:tr>
    </w:tbl>
    <w:p>
      <w:r>
        <w:rPr>
          <w:rFonts w:ascii="Consolas" w:cs="Consolas" w:eastAsia="Consolas" w:hAnsi="Consolas"/>
          <w:b/>
          <w:bCs/>
          <w:color w:val="2F5BD0"/>
        </w:rPr>
        <w:t xml:space="preserve">{{/each}}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2026-08-15T15:51:02.686Z</dcterms:created>
  <dcterms:modified xsi:type="dcterms:W3CDTF">2026-08-15T15:51:02.686Z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