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Inventaire générique des objets (modèle agnostique)</w:t>
      </w:r>
    </w:p>
    <w:p>
      <w:r>
        <w:t xml:space="preserve">{{#each objects sort="id"}}</w:t>
      </w:r>
    </w:p>
    <w:p>
      <w:r>
        <w:rPr>
          <w:b/>
        </w:rPr>
        <w:t xml:space="preserve">{{ object.type }} — {{ object.id }} : {{ object.label }}</w:t>
      </w:r>
    </w:p>
    <w:p>
      <w:r>
        <w:t xml:space="preserve">{{ object_notes }}</w:t>
      </w:r>
    </w:p>
    <w:p>
      <w:r>
        <w:t xml:space="preserve">{{/each}}</w:t>
      </w:r>
    </w:p>
    <w:p>
      <w:r>
        <w:rPr>
          <w:b/>
          <w:sz w:val="28"/>
        </w:rPr>
        <w:t xml:space="preserve">Champs personnalisés de l'analyse</w:t>
      </w:r>
    </w:p>
    <w:p>
      <w:r>
        <w:t xml:space="preserve">{{ cf_notes target="analysis" 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