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 xml:space="preserve">Risques — boucle de paragraphes</w:t>
      </w:r>
    </w:p>
    <w:p>
      <w:r>
        <w:t xml:space="preserve">{{#each risks sort="id"}}</w:t>
      </w:r>
    </w:p>
    <w:p>
      <w:r>
        <w:rPr>
          <w:b/>
        </w:rPr>
        <w:t xml:space="preserve">{{ risk.id }} — {{ risk.label }} | calc={{ risk.cf.calc }}</w:t>
      </w:r>
    </w:p>
    <w:p>
      <w:r>
        <w:t xml:space="preserve">Couleur both : {{ risk.cf.col_both }} · swatch : {{ risk.cf.col_swatch }} · hex : {{ risk.cf.col_hex }}</w:t>
      </w:r>
    </w:p>
    <w:p>
      <w:r>
        <w:t xml:space="preserve">Photo (défaut) : {{ risk.cf.photo }} · largeur 3 cm : {{ risk.cf.photo width="3" }}</w:t>
      </w:r>
    </w:p>
    <w:p>
      <w:r>
        <w:t xml:space="preserve">{{/each}}</w:t>
      </w:r>
    </w:p>
    <w:sectPr/>
  </w:body>
</w:document>
</file>

<file path=word/_rels/document.xml.rels><?xml version="1.0" encoding="UTF-8" standalone="yes"?><Relationships xmlns="http://schemas.openxmlformats.org/package/2006/relationships"></Relationships>
</file>