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 — bloc « stat » (statistiques)</w:t>
      </w:r>
    </w:p>
    <w:p>
      <w:r>
        <w:rPr>
          <w:i/>
          <w:iCs/>
          <w:color w:val="8A94A6"/>
          <w:sz w:val="18"/>
          <w:szCs w:val="18"/>
        </w:rPr>
        <w:t xml:space="preserve">Charger analyse-test-stats.rae.json puis exporter avec ce modèle. Chaque section indique le résultat attendu.</w:t>
      </w:r>
    </w:p>
    <w:p>
      <w:pPr>
        <w:pStyle w:val="Heading2"/>
      </w:pPr>
      <w:r>
        <w:t xml:space="preserve">1. Compteurs (tuiles) — type="counters"</w:t>
      </w:r>
    </w:p>
    <w:p>
      <w:r>
        <w:rPr>
          <w:b/>
          <w:bCs/>
          <w:color w:val="2F5BD0"/>
        </w:rPr>
        <w:t xml:space="preserve">{{ stat type="counters" }}</w:t>
      </w:r>
    </w:p>
    <w:p>
      <w:r>
        <w:rPr>
          <w:b/>
          <w:bCs/>
          <w:color w:val="1E7A46"/>
        </w:rPr>
        <w:t xml:space="preserve">Attendu — </w:t>
      </w:r>
      <w:r>
        <w:rPr>
          <w:color w:val="1E7A46"/>
        </w:rPr>
        <w:t xml:space="preserve">4 tuiles : Risques = 6 · Mesures = 4 · Risques réduits = 3 (vert) · Risques traités = 50 % (bleu).</w:t>
      </w:r>
    </w:p>
    <w:p>
      <w:pPr>
        <w:pStyle w:val="Heading2"/>
      </w:pPr>
      <w:r>
        <w:t xml:space="preserve">2. Synthèse (tableau) — type="summary"</w:t>
      </w:r>
    </w:p>
    <w:p>
      <w:r>
        <w:rPr>
          <w:b/>
          <w:bCs/>
          <w:color w:val="2F5BD0"/>
        </w:rPr>
        <w:t xml:space="preserve">{{ stat type="summary" }}</w:t>
      </w:r>
    </w:p>
    <w:p>
      <w:r>
        <w:rPr>
          <w:b/>
          <w:bCs/>
          <w:color w:val="1E7A46"/>
        </w:rPr>
        <w:t xml:space="preserve">Attendu — </w:t>
      </w:r>
      <w:r>
        <w:rPr>
          <w:color w:val="1E7A46"/>
        </w:rPr>
        <w:t xml:space="preserve">Risques 6 · Mesures 4 · Risques réduits 3.</w:t>
      </w:r>
    </w:p>
    <w:p>
      <w:pPr>
        <w:pStyle w:val="Heading2"/>
      </w:pPr>
      <w:r>
        <w:t xml:space="preserve">3. Couverture — type="coverage"</w:t>
      </w:r>
    </w:p>
    <w:p>
      <w:r>
        <w:rPr>
          <w:b/>
          <w:bCs/>
          <w:color w:val="2F5BD0"/>
        </w:rPr>
        <w:t xml:space="preserve">{{ stat type="coverage" }}</w:t>
      </w:r>
    </w:p>
    <w:p>
      <w:r>
        <w:rPr>
          <w:b/>
          <w:bCs/>
          <w:color w:val="1E7A46"/>
        </w:rPr>
        <w:t xml:space="preserve">Attendu — </w:t>
      </w:r>
      <w:r>
        <w:rPr>
          <w:color w:val="1E7A46"/>
        </w:rPr>
        <w:t xml:space="preserve">Risques sans mesure : 1 / 6 (R6) · Mesures orphelines : 1 / 4 (M4).</w:t>
      </w:r>
    </w:p>
    <w:p>
      <w:pPr>
        <w:pStyle w:val="Heading2"/>
      </w:pPr>
      <w:r>
        <w:t xml:space="preserve">4. Répartition par criticité — type="distribution"</w:t>
      </w:r>
    </w:p>
    <w:p>
      <w:r>
        <w:rPr>
          <w:b/>
          <w:bCs/>
          <w:color w:val="2F5BD0"/>
        </w:rPr>
        <w:t xml:space="preserve">{{ stat type="distribution" }}</w:t>
      </w:r>
    </w:p>
    <w:p>
      <w:r>
        <w:rPr>
          <w:b/>
          <w:bCs/>
          <w:color w:val="1E7A46"/>
        </w:rPr>
        <w:t xml:space="preserve">Attendu — </w:t>
      </w:r>
      <w:r>
        <w:rPr>
          <w:color w:val="1E7A46"/>
        </w:rPr>
        <w:t xml:space="preserve">Négligeable 1/2 · Limité 2/1 · Important 1/2 · Maximal 2/1 (Initial / Résiduel), libellés en cellules colorées.</w:t>
      </w:r>
    </w:p>
    <w:p>
      <w:pPr>
        <w:pStyle w:val="Heading2"/>
      </w:pPr>
      <w:r>
        <w:t xml:space="preserve">5. Alias — type="criticality" (identique à distribution)</w:t>
      </w:r>
    </w:p>
    <w:p>
      <w:r>
        <w:rPr>
          <w:b/>
          <w:bCs/>
          <w:color w:val="2F5BD0"/>
        </w:rPr>
        <w:t xml:space="preserve">{{ stat type="criticality" }}</w:t>
      </w:r>
    </w:p>
    <w:p>
      <w:r>
        <w:rPr>
          <w:b/>
          <w:bCs/>
          <w:color w:val="1E7A46"/>
        </w:rPr>
        <w:t xml:space="preserve">Attendu — </w:t>
      </w:r>
      <w:r>
        <w:rPr>
          <w:color w:val="1E7A46"/>
        </w:rPr>
        <w:t xml:space="preserve">Même tableau que la section 4.</w:t>
      </w:r>
    </w:p>
    <w:p>
      <w:pPr>
        <w:pStyle w:val="Heading2"/>
      </w:pPr>
      <w:r>
        <w:t xml:space="preserve">6. Type inconnu (doit être signalé)</w:t>
      </w:r>
    </w:p>
    <w:p>
      <w:r>
        <w:rPr>
          <w:b/>
          <w:bCs/>
          <w:color w:val="2F5BD0"/>
        </w:rPr>
        <w:t xml:space="preserve">{{ stat type="inexistant" }}</w:t>
      </w:r>
    </w:p>
    <w:p>
      <w:r>
        <w:rPr>
          <w:b/>
          <w:bCs/>
          <w:color w:val="1E7A46"/>
        </w:rPr>
        <w:t xml:space="preserve">Attendu — </w:t>
      </w:r>
      <w:r>
        <w:rPr>
          <w:color w:val="1E7A46"/>
        </w:rPr>
        <w:t xml:space="preserve">Rien ici, et l'avertissement « Type de statistique inconnu : inexistant » dans le rapport.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</w:pPr>
    <w:rPr>
      <w:rFonts w:ascii="Calibri" w:cs="Calibri" w:eastAsia="Calibri" w:hAnsi="Calibri"/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2026-08-14T16:21:17.686Z</dcterms:created>
  <dcterms:modified xsi:type="dcterms:W3CDTF">2026-08-14T16:21:17.688Z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